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lang w:val="en-US" w:eastAsia="zh-CN"/>
        </w:rPr>
      </w:pPr>
      <w:r>
        <w:rPr>
          <w:rFonts w:hint="eastAsia"/>
          <w:lang w:val="en-US" w:eastAsia="zh-CN"/>
        </w:rPr>
        <w:t>丹阳市人民医院腕带点采购项目</w:t>
      </w:r>
    </w:p>
    <w:p>
      <w:pPr>
        <w:pStyle w:val="5"/>
        <w:bidi w:val="0"/>
        <w:rPr>
          <w:rFonts w:hint="default"/>
          <w:lang w:val="en-US" w:eastAsia="zh-CN"/>
        </w:rPr>
      </w:pPr>
      <w:r>
        <w:rPr>
          <w:rFonts w:hint="eastAsia"/>
          <w:lang w:val="en-US" w:eastAsia="zh-CN"/>
        </w:rPr>
        <w:t>第一部分 询价邀请</w:t>
      </w:r>
    </w:p>
    <w:p>
      <w:pPr>
        <w:pStyle w:val="6"/>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项目名称：腕带定点采购。</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招标编号：DRY-CG-20220036。</w:t>
      </w:r>
    </w:p>
    <w:p>
      <w:pPr>
        <w:pStyle w:val="2"/>
        <w:numPr>
          <w:ilvl w:val="0"/>
          <w:numId w:val="3"/>
        </w:numPr>
        <w:ind w:left="425" w:leftChars="0" w:hanging="425" w:firstLineChars="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预算：8.4万/年</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招标控制价（最高限价）：7.56万/年。</w:t>
      </w:r>
    </w:p>
    <w:p>
      <w:pPr>
        <w:pStyle w:val="15"/>
        <w:numPr>
          <w:ilvl w:val="0"/>
          <w:numId w:val="3"/>
        </w:numPr>
        <w:ind w:left="425" w:leftChars="0" w:hanging="425" w:firstLineChars="0"/>
        <w:rPr>
          <w:rFonts w:hint="eastAsia" w:ascii="宋体" w:hAnsi="宋体" w:eastAsia="宋体" w:cs="宋体"/>
          <w:lang w:val="en-US" w:eastAsia="zh-CN"/>
        </w:rPr>
      </w:pPr>
      <w:r>
        <w:rPr>
          <w:rFonts w:hint="eastAsia" w:ascii="宋体" w:hAnsi="宋体" w:eastAsia="宋体" w:cs="宋体"/>
          <w:sz w:val="24"/>
          <w:szCs w:val="24"/>
          <w:lang w:val="en-US" w:eastAsia="zh-CN"/>
        </w:rPr>
        <w:t>供货期：3年</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根据上年度用量，一年采购量如下：</w:t>
      </w:r>
    </w:p>
    <w:tbl>
      <w:tblPr>
        <w:tblStyle w:val="11"/>
        <w:tblpPr w:leftFromText="180" w:rightFromText="180" w:vertAnchor="text" w:horzAnchor="page" w:tblpXSpec="center" w:tblpY="277"/>
        <w:tblOverlap w:val="never"/>
        <w:tblW w:w="43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8"/>
        <w:gridCol w:w="1741"/>
        <w:gridCol w:w="2321"/>
        <w:gridCol w:w="95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品名</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碳带</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腕带条码打印</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腕带（手写）</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GA</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草绿色1*100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橙色（儿童）1*100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橙色（成人）1*100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粉红（成人）1*100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腕带（条码）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粉色（儿童）1*100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腕带（条码）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蓝色（成人）1*100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腕带（条码）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新生儿1*100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腕带吊牌</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多重耐药菌1*100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腕带吊牌</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防跌倒1*100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包</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腕带吊牌</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易走失1*100</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r>
    </w:tbl>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本项目供应商邀请方式：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询价，发布公告：丹阳市人民医院门户网、丹阳市人民医院OA网站。</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6"/>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报名时间：2022年8月  日至2022年8月  日 ，北京时间上午8:00-11:00，下午2:00-5:00。</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报名地点：丹阳市教育印刷厂三楼丹阳市人民医院采购中心。</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24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6"/>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r>
        <w:rPr>
          <w:rFonts w:hint="eastAsia"/>
          <w:lang w:val="en-US" w:eastAsia="zh-CN"/>
        </w:rPr>
        <w:t xml:space="preserve">1.  </w:t>
      </w:r>
      <w:r>
        <w:rPr>
          <w:b/>
          <w:sz w:val="24"/>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2）有依法缴纳税收和社会保障资金的良好记录：有依法缴纳税收和社会保障资金的良好记录（提供承诺函，格式自拟）。</w:t>
      </w:r>
    </w:p>
    <w:p>
      <w:r>
        <w:t>3）具有良好的商业信誉和健全的财务会计制度：供应商必须具有良好的商业信誉和健全的财务会计制度（提供承诺函，格式自拟） 。</w:t>
      </w:r>
    </w:p>
    <w:p>
      <w:r>
        <w:t>4）履行合同所必需的设备和专业技术能力：按投标（响应）文件格式填报设备及专业技术能力情况。</w:t>
      </w:r>
    </w:p>
    <w:p>
      <w:pPr>
        <w:numPr>
          <w:ilvl w:val="0"/>
          <w:numId w:val="5"/>
        </w:numPr>
      </w:pPr>
      <w:r>
        <w:rPr>
          <w:b/>
          <w:sz w:val="24"/>
        </w:rPr>
        <w:t>本项目特定的资格要求：</w:t>
      </w:r>
    </w:p>
    <w:p>
      <w:pPr>
        <w:numPr>
          <w:ilvl w:val="0"/>
          <w:numId w:val="6"/>
        </w:numPr>
        <w:ind w:left="0" w:leftChars="0" w:firstLine="0" w:firstLineChars="0"/>
      </w:pP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6"/>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r>
        <w:rPr>
          <w:rFonts w:hint="eastAsia"/>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1581"/>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2" w:type="dxa"/>
            <w:vAlign w:val="center"/>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581" w:type="dxa"/>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品名</w:t>
            </w:r>
          </w:p>
        </w:tc>
        <w:tc>
          <w:tcPr>
            <w:tcW w:w="6069" w:type="dxa"/>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72" w:type="dxa"/>
            <w:vAlign w:val="center"/>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581" w:type="dxa"/>
            <w:vAlign w:val="top"/>
          </w:tcPr>
          <w:p>
            <w:pPr>
              <w:bidi w:val="0"/>
              <w:rPr>
                <w:rFonts w:hint="eastAsia" w:ascii="宋体" w:hAnsi="宋体" w:eastAsia="宋体" w:cs="宋体"/>
                <w:sz w:val="24"/>
                <w:szCs w:val="24"/>
              </w:rPr>
            </w:pPr>
            <w:r>
              <w:rPr>
                <w:rFonts w:hint="eastAsia" w:ascii="宋体" w:hAnsi="宋体" w:eastAsia="宋体" w:cs="宋体"/>
                <w:sz w:val="24"/>
                <w:szCs w:val="24"/>
              </w:rPr>
              <w:t>材质类型</w:t>
            </w:r>
          </w:p>
        </w:tc>
        <w:tc>
          <w:tcPr>
            <w:tcW w:w="6069"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热敏硅胶</w:t>
            </w:r>
            <w:r>
              <w:rPr>
                <w:rFonts w:hint="eastAsia" w:ascii="宋体" w:hAnsi="宋体" w:eastAsia="宋体" w:cs="宋体"/>
                <w:sz w:val="24"/>
                <w:szCs w:val="24"/>
              </w:rPr>
              <w:t>复合</w:t>
            </w:r>
            <w:r>
              <w:rPr>
                <w:rFonts w:hint="eastAsia" w:ascii="宋体" w:hAnsi="宋体" w:eastAsia="宋体" w:cs="宋体"/>
                <w:sz w:val="24"/>
                <w:szCs w:val="24"/>
                <w:lang w:val="en-US" w:eastAsia="zh-CN"/>
              </w:rPr>
              <w:t>材质/热转印硅胶复合型材质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72" w:type="dxa"/>
            <w:vAlign w:val="center"/>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2</w:t>
            </w:r>
          </w:p>
        </w:tc>
        <w:tc>
          <w:tcPr>
            <w:tcW w:w="1581"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rPr>
              <w:t>材质特性</w:t>
            </w:r>
          </w:p>
        </w:tc>
        <w:tc>
          <w:tcPr>
            <w:tcW w:w="6069"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rPr>
              <w:t>抗菌工艺，环保无毒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柔软舒适，耐磨、抗腐蚀，防水、防酒精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trPr>
        <w:tc>
          <w:tcPr>
            <w:tcW w:w="872" w:type="dxa"/>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581"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rPr>
              <w:t>打印方式</w:t>
            </w:r>
          </w:p>
        </w:tc>
        <w:tc>
          <w:tcPr>
            <w:tcW w:w="6069"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热转印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581"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rPr>
              <w:t>打印区域</w:t>
            </w:r>
          </w:p>
        </w:tc>
        <w:tc>
          <w:tcPr>
            <w:tcW w:w="6069"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成人：≥</w:t>
            </w:r>
            <w:r>
              <w:rPr>
                <w:rFonts w:hint="eastAsia" w:ascii="宋体" w:hAnsi="宋体" w:eastAsia="宋体" w:cs="宋体"/>
                <w:sz w:val="24"/>
                <w:szCs w:val="24"/>
              </w:rPr>
              <w:t xml:space="preserve">280×30mm </w:t>
            </w:r>
            <w:r>
              <w:rPr>
                <w:rFonts w:hint="eastAsia" w:ascii="宋体" w:hAnsi="宋体" w:eastAsia="宋体" w:cs="宋体"/>
                <w:sz w:val="24"/>
                <w:szCs w:val="24"/>
                <w:lang w:val="en-US" w:eastAsia="zh-CN"/>
              </w:rPr>
              <w:t>腕带净长度：≥</w:t>
            </w:r>
            <w:r>
              <w:rPr>
                <w:rFonts w:hint="eastAsia" w:ascii="宋体" w:hAnsi="宋体" w:eastAsia="宋体" w:cs="宋体"/>
                <w:sz w:val="24"/>
                <w:szCs w:val="24"/>
              </w:rPr>
              <w:t>270mm</w:t>
            </w:r>
            <w:r>
              <w:rPr>
                <w:rFonts w:hint="eastAsia" w:ascii="宋体" w:hAnsi="宋体" w:eastAsia="宋体" w:cs="宋体"/>
                <w:sz w:val="24"/>
                <w:szCs w:val="24"/>
                <w:lang w:val="en-US"/>
              </w:rPr>
              <w:t xml:space="preserve"> </w:t>
            </w:r>
            <w:r>
              <w:rPr>
                <w:rFonts w:hint="eastAsia" w:ascii="宋体" w:hAnsi="宋体" w:eastAsia="宋体" w:cs="宋体"/>
                <w:sz w:val="24"/>
                <w:szCs w:val="24"/>
                <w:lang w:val="en-US" w:eastAsia="zh-CN"/>
              </w:rPr>
              <w:t>，</w:t>
            </w:r>
            <w:r>
              <w:rPr>
                <w:rFonts w:hint="eastAsia" w:ascii="宋体" w:hAnsi="宋体" w:eastAsia="宋体" w:cs="宋体"/>
                <w:sz w:val="24"/>
                <w:szCs w:val="24"/>
              </w:rPr>
              <w:t>打印区域</w:t>
            </w:r>
            <w:r>
              <w:rPr>
                <w:rFonts w:hint="eastAsia" w:ascii="宋体" w:hAnsi="宋体" w:eastAsia="宋体" w:cs="宋体"/>
                <w:sz w:val="24"/>
                <w:szCs w:val="24"/>
                <w:lang w:val="en-US" w:eastAsia="zh-CN"/>
              </w:rPr>
              <w:t>≥</w:t>
            </w:r>
            <w:r>
              <w:rPr>
                <w:rFonts w:hint="eastAsia" w:ascii="宋体" w:hAnsi="宋体" w:eastAsia="宋体" w:cs="宋体"/>
                <w:sz w:val="24"/>
                <w:szCs w:val="24"/>
              </w:rPr>
              <w:t>85×20mm</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儿童：≥220×30mm，腕带净长度≥205mm，打印区域≥68×20mm.</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新生儿：≥158×30mm，腕带净长度≥145mm，打印区域≥60×15mm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581" w:type="dxa"/>
            <w:vAlign w:val="top"/>
          </w:tcPr>
          <w:p>
            <w:pPr>
              <w:bidi w:val="0"/>
              <w:rPr>
                <w:rFonts w:hint="eastAsia" w:ascii="宋体" w:hAnsi="宋体" w:eastAsia="宋体" w:cs="宋体"/>
                <w:sz w:val="24"/>
                <w:szCs w:val="24"/>
                <w:lang w:val="en-US" w:eastAsia="zh-CN"/>
              </w:rPr>
            </w:pP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排孔</w:t>
            </w:r>
          </w:p>
        </w:tc>
        <w:tc>
          <w:tcPr>
            <w:tcW w:w="6069" w:type="dxa"/>
            <w:vAlign w:val="top"/>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成人腕带前段2个</w:t>
            </w:r>
            <w:r>
              <w:rPr>
                <w:rFonts w:hint="eastAsia" w:ascii="宋体" w:hAnsi="宋体" w:eastAsia="宋体" w:cs="宋体"/>
                <w:sz w:val="24"/>
                <w:szCs w:val="24"/>
              </w:rPr>
              <w:t>纽扣孔，尾端</w:t>
            </w:r>
            <w:r>
              <w:rPr>
                <w:rFonts w:hint="eastAsia" w:ascii="宋体" w:hAnsi="宋体" w:eastAsia="宋体" w:cs="宋体"/>
                <w:sz w:val="24"/>
                <w:szCs w:val="24"/>
                <w:lang w:val="en-US" w:eastAsia="zh-CN"/>
              </w:rPr>
              <w:t>≥11</w:t>
            </w:r>
            <w:r>
              <w:rPr>
                <w:rFonts w:hint="eastAsia" w:ascii="宋体" w:hAnsi="宋体" w:eastAsia="宋体" w:cs="宋体"/>
                <w:sz w:val="24"/>
                <w:szCs w:val="24"/>
              </w:rPr>
              <w:t>个纽扣孔。</w:t>
            </w:r>
          </w:p>
          <w:p>
            <w:pPr>
              <w:bidi w:val="0"/>
              <w:rPr>
                <w:rFonts w:hint="eastAsia" w:ascii="宋体" w:hAnsi="宋体" w:eastAsia="宋体" w:cs="宋体"/>
                <w:sz w:val="24"/>
                <w:szCs w:val="24"/>
                <w:lang w:eastAsia="zh-CN"/>
              </w:rPr>
            </w:pPr>
            <w:r>
              <w:rPr>
                <w:rFonts w:hint="eastAsia" w:ascii="宋体" w:hAnsi="宋体" w:eastAsia="宋体" w:cs="宋体"/>
                <w:sz w:val="24"/>
                <w:szCs w:val="24"/>
              </w:rPr>
              <w:t>儿童腕带</w:t>
            </w:r>
            <w:r>
              <w:rPr>
                <w:rFonts w:hint="eastAsia" w:ascii="宋体" w:hAnsi="宋体" w:eastAsia="宋体" w:cs="宋体"/>
                <w:sz w:val="24"/>
                <w:szCs w:val="24"/>
                <w:lang w:val="en-US" w:eastAsia="zh-CN"/>
              </w:rPr>
              <w:t>前段2个纽扣孔</w:t>
            </w:r>
            <w:r>
              <w:rPr>
                <w:rFonts w:hint="eastAsia" w:ascii="宋体" w:hAnsi="宋体" w:eastAsia="宋体" w:cs="宋体"/>
                <w:sz w:val="24"/>
                <w:szCs w:val="24"/>
              </w:rPr>
              <w:t>，尾端</w:t>
            </w:r>
            <w:r>
              <w:rPr>
                <w:rFonts w:hint="eastAsia" w:ascii="宋体" w:hAnsi="宋体" w:eastAsia="宋体" w:cs="宋体"/>
                <w:sz w:val="24"/>
                <w:szCs w:val="24"/>
                <w:lang w:val="en-US" w:eastAsia="zh-CN"/>
              </w:rPr>
              <w:t>≥11</w:t>
            </w:r>
            <w:r>
              <w:rPr>
                <w:rFonts w:hint="eastAsia" w:ascii="宋体" w:hAnsi="宋体" w:eastAsia="宋体" w:cs="宋体"/>
                <w:sz w:val="24"/>
                <w:szCs w:val="24"/>
              </w:rPr>
              <w:t>个纽扣孔</w:t>
            </w:r>
            <w:r>
              <w:rPr>
                <w:rFonts w:hint="eastAsia" w:ascii="宋体" w:hAnsi="宋体" w:eastAsia="宋体" w:cs="宋体"/>
                <w:sz w:val="24"/>
                <w:szCs w:val="24"/>
                <w:lang w:eastAsia="zh-CN"/>
              </w:rPr>
              <w:t>。</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新生儿腕带前段1个</w:t>
            </w:r>
            <w:r>
              <w:rPr>
                <w:rFonts w:hint="eastAsia" w:ascii="宋体" w:hAnsi="宋体" w:eastAsia="宋体" w:cs="宋体"/>
                <w:sz w:val="24"/>
                <w:szCs w:val="24"/>
              </w:rPr>
              <w:t>纽扣孔，尾端</w:t>
            </w:r>
            <w:r>
              <w:rPr>
                <w:rFonts w:hint="eastAsia" w:ascii="宋体" w:hAnsi="宋体" w:eastAsia="宋体" w:cs="宋体"/>
                <w:sz w:val="24"/>
                <w:szCs w:val="24"/>
                <w:lang w:val="en-US" w:eastAsia="zh-CN"/>
              </w:rPr>
              <w:t>≥7</w:t>
            </w:r>
            <w:r>
              <w:rPr>
                <w:rFonts w:hint="eastAsia" w:ascii="宋体" w:hAnsi="宋体" w:eastAsia="宋体" w:cs="宋体"/>
                <w:sz w:val="24"/>
                <w:szCs w:val="24"/>
              </w:rPr>
              <w:t>个纽扣孔</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581"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rPr>
              <w:t>权威认证</w:t>
            </w:r>
          </w:p>
        </w:tc>
        <w:tc>
          <w:tcPr>
            <w:tcW w:w="6069" w:type="dxa"/>
            <w:vAlign w:val="top"/>
          </w:tcPr>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★提供产品FDA检测报告、SGS检测报告，生产企业ISO质量体系认证书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72" w:type="dxa"/>
            <w:vAlign w:val="center"/>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581" w:type="dxa"/>
            <w:vAlign w:val="top"/>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碳带</w:t>
            </w:r>
          </w:p>
        </w:tc>
        <w:tc>
          <w:tcPr>
            <w:tcW w:w="6069" w:type="dxa"/>
            <w:vAlign w:val="top"/>
          </w:tcPr>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免费提供与机打腕带等量的碳带</w:t>
            </w:r>
          </w:p>
        </w:tc>
      </w:tr>
    </w:tbl>
    <w:p>
      <w:pPr>
        <w:pStyle w:val="6"/>
        <w:numPr>
          <w:ilvl w:val="0"/>
          <w:numId w:val="2"/>
        </w:numPr>
        <w:bidi w:val="0"/>
        <w:ind w:left="0" w:leftChars="0" w:firstLine="0" w:firstLineChars="0"/>
        <w:rPr>
          <w:rFonts w:hint="eastAsia"/>
          <w:lang w:val="en-US" w:eastAsia="zh-CN"/>
        </w:rPr>
      </w:pPr>
      <w:r>
        <w:rPr>
          <w:rFonts w:hint="eastAsia"/>
          <w:lang w:val="en-US" w:eastAsia="zh-CN"/>
        </w:rPr>
        <w:t>商务要求：</w:t>
      </w:r>
    </w:p>
    <w:tbl>
      <w:tblPr>
        <w:tblStyle w:val="11"/>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2"/>
        <w:gridCol w:w="66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7" w:hRule="atLeast"/>
        </w:trPr>
        <w:tc>
          <w:tcPr>
            <w:tcW w:w="1116" w:type="pct"/>
            <w:vAlign w:val="top"/>
          </w:tcPr>
          <w:p>
            <w:pPr>
              <w:rPr>
                <w:rFonts w:hint="eastAsia" w:asciiTheme="minorAscii" w:hAnsiTheme="minorAscii" w:eastAsiaTheme="minorEastAsia" w:cstheme="minorBidi"/>
                <w:kern w:val="2"/>
                <w:sz w:val="24"/>
                <w:szCs w:val="24"/>
                <w:lang w:val="en-US" w:eastAsia="zh-CN" w:bidi="ar-SA"/>
              </w:rPr>
            </w:pPr>
            <w:r>
              <w:t>标的提供的时间</w:t>
            </w:r>
          </w:p>
        </w:tc>
        <w:tc>
          <w:tcPr>
            <w:tcW w:w="3883" w:type="pct"/>
            <w:vAlign w:val="top"/>
          </w:tcPr>
          <w:p>
            <w:pPr>
              <w:rPr>
                <w:rFonts w:hint="eastAsia" w:asciiTheme="minorAscii" w:hAnsiTheme="minorAscii" w:eastAsiaTheme="minorEastAsia" w:cstheme="minorBidi"/>
                <w:kern w:val="2"/>
                <w:sz w:val="24"/>
                <w:szCs w:val="24"/>
                <w:lang w:val="en-US" w:eastAsia="zh-CN" w:bidi="ar-SA"/>
              </w:rPr>
            </w:pPr>
            <w:r>
              <w:t>自合同签订之日起</w:t>
            </w:r>
            <w:r>
              <w:rPr>
                <w:rFonts w:hint="eastAsia"/>
                <w:lang w:val="en-US" w:eastAsia="zh-CN"/>
              </w:rPr>
              <w:t>3</w:t>
            </w:r>
            <w: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7" w:hRule="atLeast"/>
        </w:trPr>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标的提供的地点</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丹阳市</w:t>
            </w:r>
            <w:r>
              <w:rPr>
                <w:rFonts w:hint="eastAsia" w:ascii="宋体" w:hAnsi="宋体" w:eastAsia="宋体" w:cs="宋体"/>
                <w:sz w:val="24"/>
                <w:szCs w:val="24"/>
              </w:rPr>
              <w:t>人民医院指定地点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83" w:type="pct"/>
          </w:tcPr>
          <w:p>
            <w:pPr>
              <w:numPr>
                <w:ilvl w:val="0"/>
                <w:numId w:val="7"/>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每批次交货并双方验收合格后，采购人收到中标人开具等额的国家正规发票后按相关规定</w:t>
            </w:r>
            <w:r>
              <w:rPr>
                <w:rFonts w:hint="eastAsia" w:ascii="宋体" w:hAnsi="宋体" w:eastAsia="宋体" w:cs="宋体"/>
                <w:sz w:val="24"/>
                <w:szCs w:val="24"/>
                <w:lang w:val="en-US" w:eastAsia="zh-CN"/>
              </w:rPr>
              <w:t>2个月后</w:t>
            </w:r>
            <w:r>
              <w:rPr>
                <w:rFonts w:hint="eastAsia" w:ascii="宋体" w:hAnsi="宋体" w:eastAsia="宋体" w:cs="宋体"/>
                <w:sz w:val="24"/>
                <w:szCs w:val="24"/>
              </w:rPr>
              <w:t>通过转账方式支付该批次货款的费用。</w:t>
            </w:r>
          </w:p>
          <w:p>
            <w:pPr>
              <w:numPr>
                <w:ilvl w:val="0"/>
                <w:numId w:val="7"/>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中标人不得提供虚假发票，不得委托第三方办理结算事宜，否则采购人有权拒绝付款。 </w:t>
            </w:r>
          </w:p>
          <w:p>
            <w:pPr>
              <w:numPr>
                <w:ilvl w:val="0"/>
                <w:numId w:val="7"/>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结算方式：甲方根据实际需求的数量进行采购，合同以最终按实际采购数量结算，供货价=中标单价×实际采购数量。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验收要求</w:t>
            </w:r>
          </w:p>
        </w:tc>
        <w:tc>
          <w:tcPr>
            <w:tcW w:w="3883" w:type="pct"/>
            <w:vAlign w:val="top"/>
          </w:tcPr>
          <w:p>
            <w:pPr>
              <w:numPr>
                <w:ilvl w:val="0"/>
                <w:numId w:val="8"/>
              </w:numPr>
              <w:bidi w:val="0"/>
              <w:ind w:left="425" w:leftChars="0" w:hanging="425"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货物的按技术要求标准进行验收。</w:t>
            </w:r>
          </w:p>
          <w:p>
            <w:pPr>
              <w:numPr>
                <w:ilvl w:val="0"/>
                <w:numId w:val="8"/>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货物的包装必须是制造商原厂包装，其包装均应有良好的防湿、防锈、防潮、防雨、防腐及防碰撞的措施。凡由于包装不良造成的损失和由此产生的费用均由中标人承担。 </w:t>
            </w:r>
          </w:p>
          <w:p>
            <w:pPr>
              <w:numPr>
                <w:ilvl w:val="0"/>
                <w:numId w:val="8"/>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中标人负责将货物到现场过程中的全部运输，包括装卸车、货物现场的搬运。</w:t>
            </w:r>
          </w:p>
          <w:p>
            <w:pPr>
              <w:numPr>
                <w:ilvl w:val="0"/>
                <w:numId w:val="8"/>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各种货物必须提供装箱清单，按装箱清单验收货物。 </w:t>
            </w:r>
          </w:p>
          <w:p>
            <w:pPr>
              <w:numPr>
                <w:ilvl w:val="0"/>
                <w:numId w:val="8"/>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货物在现场的保管由中标人负责，直至验收完毕。 </w:t>
            </w:r>
          </w:p>
          <w:p>
            <w:pPr>
              <w:numPr>
                <w:ilvl w:val="0"/>
                <w:numId w:val="8"/>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物在验收合格前的保险由中标人负责，中标人负责其派出的现场服务人员人身意外保险。 </w:t>
            </w:r>
          </w:p>
          <w:p>
            <w:pPr>
              <w:numPr>
                <w:ilvl w:val="0"/>
                <w:numId w:val="8"/>
              </w:numPr>
              <w:bidi w:val="0"/>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rPr>
              <w:t>货物至采购人指定的使用现场的包装、保险及发运等环节和费用均由中标人负责。 中标人应按采购人要求提供货物，若交付货物与采购人要求不符的以及数量短缺的，接到采购人换退货和缺货通知后，2小时内响应，并在3天内更换或补齐货物。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其他</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交货时间要求：按照采购人需求分批多次交货，每批次送货自采购人通知时起，不得超过</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日历天。 </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医院根据需要采购相应的品种，不保证采购数量。</w:t>
            </w:r>
          </w:p>
          <w:p>
            <w:pPr>
              <w:bidi w:val="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质量保证期（简称“质保期”）为 1 年，质保期内中标人对所供货物实行包换、包退。 </w:t>
            </w:r>
          </w:p>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质保期内，如货物因非人为因素而造成短期停用时，则质保期相应顺延。如停用时间累计超过60天则质保期重新计算。</w:t>
            </w:r>
          </w:p>
        </w:tc>
      </w:tr>
    </w:tbl>
    <w:p>
      <w:pPr>
        <w:pStyle w:val="6"/>
        <w:numPr>
          <w:ilvl w:val="0"/>
          <w:numId w:val="2"/>
        </w:numPr>
        <w:bidi w:val="0"/>
        <w:ind w:left="0" w:leftChars="0" w:firstLine="0" w:firstLineChars="0"/>
        <w:rPr>
          <w:rFonts w:hint="eastAsia"/>
          <w:lang w:val="en-US" w:eastAsia="zh-CN"/>
        </w:rPr>
      </w:pPr>
      <w:r>
        <w:rPr>
          <w:rFonts w:hint="eastAsia"/>
          <w:lang w:val="en-US" w:eastAsia="zh-CN"/>
        </w:rPr>
        <w:t>样品要求：</w:t>
      </w:r>
    </w:p>
    <w:p>
      <w:pPr>
        <w:jc w:val="both"/>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需在</w:t>
      </w:r>
      <w:r>
        <w:rPr>
          <w:rFonts w:hint="eastAsia" w:ascii="宋体" w:hAnsi="宋体" w:eastAsia="宋体" w:cs="宋体"/>
          <w:color w:val="000000"/>
          <w:sz w:val="24"/>
          <w:szCs w:val="24"/>
          <w:lang w:val="en-US" w:eastAsia="zh-CN"/>
        </w:rPr>
        <w:t>报名时</w:t>
      </w:r>
      <w:r>
        <w:rPr>
          <w:rFonts w:hint="eastAsia" w:ascii="宋体" w:hAnsi="宋体" w:eastAsia="宋体" w:cs="宋体"/>
          <w:color w:val="000000"/>
          <w:sz w:val="24"/>
          <w:szCs w:val="24"/>
        </w:rPr>
        <w:t>提交以下实物样品：</w:t>
      </w:r>
    </w:p>
    <w:tbl>
      <w:tblPr>
        <w:tblStyle w:val="11"/>
        <w:tblW w:w="4974"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61"/>
        <w:gridCol w:w="4018"/>
        <w:gridCol w:w="319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44" w:type="pct"/>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序号</w:t>
            </w:r>
          </w:p>
        </w:tc>
        <w:tc>
          <w:tcPr>
            <w:tcW w:w="2369"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样品名称</w:t>
            </w:r>
          </w:p>
        </w:tc>
        <w:tc>
          <w:tcPr>
            <w:tcW w:w="1886"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44"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369" w:type="pct"/>
            <w:tcBorders>
              <w:top w:val="single" w:color="000000" w:sz="4" w:space="0"/>
              <w:left w:val="single" w:color="000000" w:sz="4" w:space="0"/>
              <w:bottom w:val="single" w:color="000000" w:sz="4" w:space="0"/>
              <w:right w:val="single" w:color="000000" w:sz="4" w:space="0"/>
            </w:tcBorders>
            <w:vAlign w:val="top"/>
          </w:tcPr>
          <w:p>
            <w:pP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1"/>
                <w:szCs w:val="21"/>
                <w:u w:val="none"/>
                <w:lang w:val="en-US" w:eastAsia="zh-CN" w:bidi="ar"/>
              </w:rPr>
              <w:t>腕带（条码）蓝色（成人）</w:t>
            </w:r>
          </w:p>
        </w:tc>
        <w:tc>
          <w:tcPr>
            <w:tcW w:w="188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bookmarkStart w:id="8" w:name="_GoBack"/>
            <w:r>
              <w:rPr>
                <w:rFonts w:hint="eastAsia" w:ascii="宋体" w:hAnsi="宋体" w:eastAsia="宋体" w:cs="宋体"/>
                <w:color w:val="000000"/>
                <w:sz w:val="24"/>
                <w:szCs w:val="24"/>
                <w:lang w:val="en-US" w:eastAsia="zh-CN"/>
              </w:rPr>
              <w:t>5</w:t>
            </w:r>
            <w:bookmarkEnd w:id="8"/>
            <w:r>
              <w:rPr>
                <w:rFonts w:hint="eastAsia" w:ascii="宋体" w:hAnsi="宋体" w:eastAsia="宋体" w:cs="宋体"/>
                <w:color w:val="000000"/>
                <w:sz w:val="24"/>
                <w:szCs w:val="24"/>
                <w:lang w:val="en-US" w:eastAsia="zh-CN"/>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744"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369" w:type="pct"/>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color w:val="000000"/>
                <w:sz w:val="24"/>
                <w:szCs w:val="24"/>
                <w:lang w:val="en-US" w:eastAsia="zh-CN"/>
              </w:rPr>
            </w:pPr>
            <w:r>
              <w:rPr>
                <w:rFonts w:hint="eastAsia" w:ascii="宋体" w:hAnsi="宋体" w:eastAsia="宋体" w:cs="宋体"/>
                <w:i w:val="0"/>
                <w:iCs w:val="0"/>
                <w:color w:val="000000"/>
                <w:kern w:val="0"/>
                <w:sz w:val="21"/>
                <w:szCs w:val="21"/>
                <w:u w:val="none"/>
                <w:lang w:val="en-US" w:eastAsia="zh-CN" w:bidi="ar"/>
              </w:rPr>
              <w:t>腕带（条码）粉色（儿童）</w:t>
            </w:r>
          </w:p>
        </w:tc>
        <w:tc>
          <w:tcPr>
            <w:tcW w:w="188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44"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369" w:type="pct"/>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1"/>
                <w:szCs w:val="21"/>
                <w:u w:val="none"/>
                <w:lang w:val="en-US" w:eastAsia="zh-CN" w:bidi="ar"/>
              </w:rPr>
              <w:t>腕带吊牌，防跌倒</w:t>
            </w:r>
          </w:p>
        </w:tc>
        <w:tc>
          <w:tcPr>
            <w:tcW w:w="188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5个</w:t>
            </w:r>
          </w:p>
        </w:tc>
      </w:tr>
    </w:tbl>
    <w:p>
      <w:pPr>
        <w:numPr>
          <w:ilvl w:val="0"/>
          <w:numId w:val="0"/>
        </w:numPr>
        <w:bidi w:val="0"/>
        <w:ind w:leftChars="0"/>
        <w:rPr>
          <w:rFonts w:hint="default"/>
          <w:lang w:val="en-US" w:eastAsia="zh-CN"/>
        </w:rPr>
      </w:pPr>
      <w:r>
        <w:rPr>
          <w:rFonts w:hint="eastAsia"/>
          <w:lang w:val="en-US" w:eastAsia="zh-CN"/>
        </w:rPr>
        <w:t>2.样品经检测合格都入围。</w:t>
      </w:r>
    </w:p>
    <w:p>
      <w:pPr>
        <w:numPr>
          <w:ilvl w:val="0"/>
          <w:numId w:val="0"/>
        </w:numPr>
        <w:bidi w:val="0"/>
        <w:ind w:leftChars="0"/>
      </w:pPr>
      <w:r>
        <w:rPr>
          <w:rFonts w:hint="eastAsia"/>
          <w:lang w:val="en-US" w:eastAsia="zh-CN"/>
        </w:rPr>
        <w:t>3.</w:t>
      </w:r>
      <w:r>
        <w:t>中标人的样品封存于招标人单位，作为履约验收的参考。招标人对供应商所递交样品的破损或质量不负任何责任。未成交的供应商应在本项目中标结果公示结束后的3个工作日内自行至招标人取回投标样品。3个工作日后供应商不取回样品，则视为同意招标人有权自行处置相关样品。</w:t>
      </w:r>
    </w:p>
    <w:p>
      <w:pPr>
        <w:pStyle w:val="6"/>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 采购方式：询价(一次性报价）。先检测样品，样品合格者入围。</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投标文件1份，密封，开标前递交（格式参见第二部分）</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8月 27日</w:t>
      </w:r>
    </w:p>
    <w:p>
      <w:pPr>
        <w:pStyle w:val="8"/>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5"/>
        <w:bidi w:val="0"/>
        <w:jc w:val="center"/>
        <w:rPr>
          <w:rFonts w:hint="eastAsia"/>
          <w:lang w:val="en-US" w:eastAsia="zh-CN"/>
        </w:rPr>
      </w:pPr>
      <w:r>
        <w:rPr>
          <w:rFonts w:hint="eastAsia"/>
          <w:lang w:val="en-US" w:eastAsia="zh-CN"/>
        </w:rPr>
        <w:t>第二部分 询价响应文件（格式如下）</w:t>
      </w:r>
    </w:p>
    <w:p>
      <w:pPr>
        <w:pStyle w:val="5"/>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pStyle w:val="16"/>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5"/>
        <w:bidi w:val="0"/>
        <w:rPr>
          <w:rFonts w:hint="eastAsia" w:ascii="Arial" w:hAnsi="Arial"/>
          <w:lang w:val="en-US" w:eastAsia="zh-CN"/>
        </w:rPr>
      </w:pPr>
      <w:r>
        <w:rPr>
          <w:rFonts w:hint="eastAsia"/>
          <w:lang w:val="en-US" w:eastAsia="zh-CN"/>
        </w:rPr>
        <w:t>丹阳市</w:t>
      </w:r>
      <w:r>
        <w:rPr>
          <w:rFonts w:hint="eastAsia" w:ascii="Arial" w:hAnsi="Arial"/>
          <w:lang w:val="en-US" w:eastAsia="zh-CN"/>
        </w:rPr>
        <w:t>人民医院腕带定点采购</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询 价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DRY-CG-2022036</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6"/>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15"/>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pStyle w:val="15"/>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jc w:val="center"/>
        <w:rPr>
          <w:rStyle w:val="22"/>
        </w:rPr>
      </w:pPr>
      <w:r>
        <w:rPr>
          <w:rStyle w:val="22"/>
        </w:rPr>
        <w:t>投标文件目录</w:t>
      </w:r>
    </w:p>
    <w:p>
      <w:pPr>
        <w:numPr>
          <w:ilvl w:val="0"/>
          <w:numId w:val="9"/>
        </w:numPr>
        <w:spacing w:line="360" w:lineRule="auto"/>
        <w:ind w:left="0" w:leftChars="0" w:firstLine="420" w:firstLineChars="0"/>
        <w:rPr>
          <w:sz w:val="28"/>
          <w:szCs w:val="28"/>
        </w:rPr>
      </w:pPr>
      <w:r>
        <w:rPr>
          <w:sz w:val="28"/>
          <w:szCs w:val="28"/>
        </w:rPr>
        <w:t>投标函</w:t>
      </w:r>
    </w:p>
    <w:p>
      <w:pPr>
        <w:numPr>
          <w:ilvl w:val="0"/>
          <w:numId w:val="9"/>
        </w:numPr>
        <w:spacing w:line="360" w:lineRule="auto"/>
        <w:ind w:left="0" w:leftChars="0" w:firstLine="420" w:firstLineChars="0"/>
        <w:rPr>
          <w:sz w:val="28"/>
          <w:szCs w:val="28"/>
        </w:rPr>
      </w:pPr>
      <w:r>
        <w:rPr>
          <w:sz w:val="28"/>
          <w:szCs w:val="28"/>
        </w:rPr>
        <w:t>开标一览表</w:t>
      </w:r>
    </w:p>
    <w:p>
      <w:pPr>
        <w:numPr>
          <w:ilvl w:val="0"/>
          <w:numId w:val="9"/>
        </w:numPr>
        <w:spacing w:line="360" w:lineRule="auto"/>
        <w:ind w:left="0" w:leftChars="0" w:firstLine="420" w:firstLineChars="0"/>
        <w:rPr>
          <w:sz w:val="28"/>
          <w:szCs w:val="28"/>
        </w:rPr>
      </w:pPr>
      <w:r>
        <w:rPr>
          <w:sz w:val="28"/>
          <w:szCs w:val="28"/>
        </w:rPr>
        <w:t>分项报价表分项报价表</w:t>
      </w:r>
    </w:p>
    <w:p>
      <w:pPr>
        <w:numPr>
          <w:ilvl w:val="0"/>
          <w:numId w:val="9"/>
        </w:numPr>
        <w:spacing w:line="360" w:lineRule="auto"/>
        <w:ind w:left="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9"/>
        </w:numPr>
        <w:spacing w:line="360" w:lineRule="auto"/>
        <w:ind w:left="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9"/>
        </w:numPr>
        <w:spacing w:line="360" w:lineRule="auto"/>
        <w:ind w:left="0" w:leftChars="0" w:firstLine="420" w:firstLineChars="0"/>
        <w:rPr>
          <w:sz w:val="28"/>
          <w:szCs w:val="28"/>
        </w:rPr>
      </w:pPr>
      <w:r>
        <w:rPr>
          <w:rFonts w:hint="eastAsia"/>
          <w:sz w:val="28"/>
          <w:szCs w:val="28"/>
        </w:rPr>
        <w:t>资格审查资料</w:t>
      </w:r>
    </w:p>
    <w:p>
      <w:pPr>
        <w:numPr>
          <w:ilvl w:val="0"/>
          <w:numId w:val="9"/>
        </w:numPr>
        <w:spacing w:line="360" w:lineRule="auto"/>
        <w:ind w:left="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9"/>
        </w:numPr>
        <w:spacing w:line="360" w:lineRule="auto"/>
        <w:ind w:left="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9"/>
        </w:numPr>
        <w:spacing w:line="360" w:lineRule="auto"/>
        <w:ind w:left="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6"/>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丹阳市人民医院腕带定点采购</w:t>
      </w:r>
      <w:r>
        <w:rPr>
          <w:rFonts w:hint="eastAsia" w:ascii="宋体" w:hAnsi="宋体" w:eastAsia="宋体" w:cs="宋体"/>
          <w:sz w:val="24"/>
          <w:szCs w:val="24"/>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ES7t6w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DW/CQgqvHU/8z/efv3/9EOxgdcZA&#10;FQfdhduY+VG4QfNAwuPHXvsOPlBgjTk7x6qz4HyhKW3XRpfTmbDYFfX3J/Vhl4Rh5+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XES7t6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询价</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（姓名）作为本项目负责人。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15"/>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6"/>
        <w:numPr>
          <w:ilvl w:val="0"/>
          <w:numId w:val="0"/>
        </w:numPr>
        <w:bidi w:val="0"/>
        <w:ind w:leftChars="0"/>
        <w:jc w:val="both"/>
        <w:rPr>
          <w:rStyle w:val="22"/>
          <w:rFonts w:hint="eastAsia"/>
        </w:rPr>
      </w:pPr>
    </w:p>
    <w:p>
      <w:pPr>
        <w:rPr>
          <w:rStyle w:val="22"/>
          <w:rFonts w:hint="eastAsia"/>
        </w:rPr>
      </w:pPr>
    </w:p>
    <w:p>
      <w:pPr>
        <w:pStyle w:val="15"/>
        <w:rPr>
          <w:rStyle w:val="22"/>
          <w:rFonts w:hint="eastAsia"/>
        </w:rPr>
      </w:pPr>
    </w:p>
    <w:p>
      <w:pPr>
        <w:pStyle w:val="15"/>
        <w:rPr>
          <w:rStyle w:val="22"/>
          <w:rFonts w:hint="eastAsia"/>
        </w:rPr>
      </w:pPr>
    </w:p>
    <w:p>
      <w:pPr>
        <w:pStyle w:val="15"/>
        <w:rPr>
          <w:rStyle w:val="22"/>
          <w:rFonts w:hint="eastAsia"/>
        </w:rPr>
      </w:pPr>
    </w:p>
    <w:p>
      <w:pPr>
        <w:pStyle w:val="15"/>
        <w:rPr>
          <w:rStyle w:val="22"/>
          <w:rFonts w:hint="eastAsia"/>
        </w:rPr>
      </w:pPr>
    </w:p>
    <w:p>
      <w:pPr>
        <w:pStyle w:val="15"/>
        <w:rPr>
          <w:rStyle w:val="22"/>
          <w:rFonts w:hint="eastAsia"/>
        </w:rPr>
      </w:pPr>
    </w:p>
    <w:p>
      <w:pPr>
        <w:pStyle w:val="15"/>
        <w:rPr>
          <w:rStyle w:val="22"/>
          <w:rFonts w:hint="eastAsia"/>
        </w:rPr>
      </w:pPr>
    </w:p>
    <w:p>
      <w:pPr>
        <w:pStyle w:val="15"/>
        <w:rPr>
          <w:rStyle w:val="22"/>
          <w:rFonts w:hint="eastAsia"/>
        </w:rPr>
      </w:pPr>
    </w:p>
    <w:p>
      <w:pPr>
        <w:pStyle w:val="6"/>
        <w:bidi w:val="0"/>
        <w:rPr>
          <w:rFonts w:hint="eastAsia"/>
        </w:rPr>
      </w:pPr>
      <w:r>
        <w:rPr>
          <w:rFonts w:hint="eastAsia"/>
          <w:lang w:val="en-US" w:eastAsia="zh-CN"/>
        </w:rPr>
        <w:t>报价一览表（格式）</w:t>
      </w:r>
    </w:p>
    <w:p>
      <w:pPr>
        <w:pStyle w:val="16"/>
        <w:rPr>
          <w:rFonts w:hint="eastAsia" w:ascii="宋体" w:hAnsi="宋体" w:eastAsia="宋体" w:cs="宋体"/>
          <w:sz w:val="24"/>
          <w:szCs w:val="24"/>
        </w:rPr>
      </w:pPr>
    </w:p>
    <w:tbl>
      <w:tblPr>
        <w:tblStyle w:val="11"/>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w:t>
            </w:r>
            <w:r>
              <w:rPr>
                <w:rFonts w:hint="eastAsia" w:ascii="宋体" w:hAnsi="宋体" w:eastAsia="宋体" w:cs="宋体"/>
                <w:sz w:val="24"/>
                <w:szCs w:val="24"/>
                <w:lang w:val="en-US" w:eastAsia="zh-CN"/>
              </w:rPr>
              <w:t>腕带定点采购购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4.投标供应商必须据实填写此表，项目报价不得超过招标控制价。</w:t>
      </w:r>
    </w:p>
    <w:p>
      <w:pPr>
        <w:pStyle w:val="8"/>
        <w:numPr>
          <w:ilvl w:val="0"/>
          <w:numId w:val="0"/>
        </w:numPr>
        <w:ind w:firstLine="480" w:firstLineChars="200"/>
        <w:rPr>
          <w:rFonts w:hint="eastAsia" w:ascii="宋体" w:hAnsi="宋体" w:eastAsia="宋体" w:cs="宋体"/>
          <w:sz w:val="24"/>
          <w:szCs w:val="24"/>
        </w:rPr>
      </w:pPr>
    </w:p>
    <w:p>
      <w:pPr>
        <w:pStyle w:val="8"/>
        <w:numPr>
          <w:ilvl w:val="0"/>
          <w:numId w:val="0"/>
        </w:numPr>
        <w:ind w:firstLine="480" w:firstLineChars="200"/>
        <w:rPr>
          <w:rFonts w:hint="eastAsia" w:ascii="宋体" w:hAnsi="宋体" w:eastAsia="宋体" w:cs="宋体"/>
          <w:sz w:val="24"/>
          <w:szCs w:val="24"/>
        </w:rPr>
      </w:pPr>
    </w:p>
    <w:p>
      <w:pPr>
        <w:pStyle w:val="8"/>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1" w:name="_Toc26951"/>
      <w:r>
        <w:rPr>
          <w:rFonts w:hint="eastAsia" w:ascii="宋体" w:hAnsi="宋体" w:eastAsia="宋体" w:cs="宋体"/>
          <w:b/>
          <w:bCs/>
          <w:color w:val="000000"/>
          <w:sz w:val="24"/>
          <w:szCs w:val="24"/>
          <w:lang w:val="en-US" w:eastAsia="zh-CN"/>
        </w:rPr>
        <w:br w:type="page"/>
      </w:r>
    </w:p>
    <w:p>
      <w:pPr>
        <w:pStyle w:val="6"/>
        <w:bidi w:val="0"/>
        <w:rPr>
          <w:rFonts w:hint="eastAsia"/>
          <w:lang w:val="en-US" w:eastAsia="zh-CN"/>
        </w:rPr>
      </w:pPr>
      <w:r>
        <w:rPr>
          <w:rFonts w:hint="eastAsia"/>
          <w:lang w:val="en-US" w:eastAsia="zh-CN"/>
        </w:rPr>
        <w:t>分项报价表</w:t>
      </w:r>
    </w:p>
    <w:p>
      <w:pPr>
        <w:ind w:firstLine="480"/>
        <w:rPr>
          <w:rFonts w:hint="eastAsia" w:ascii="宋体" w:hAnsi="宋体" w:eastAsia="宋体" w:cs="宋体"/>
          <w:sz w:val="24"/>
          <w:szCs w:val="24"/>
        </w:rPr>
      </w:pPr>
      <w:r>
        <w:rPr>
          <w:rFonts w:hint="eastAsia" w:ascii="宋体" w:hAnsi="宋体" w:eastAsia="宋体" w:cs="宋体"/>
          <w:sz w:val="24"/>
          <w:szCs w:val="24"/>
        </w:rPr>
        <w:t>采购项目编号：</w:t>
      </w:r>
    </w:p>
    <w:p>
      <w:pPr>
        <w:ind w:firstLine="480"/>
        <w:rPr>
          <w:rFonts w:hint="eastAsia" w:ascii="宋体" w:hAnsi="宋体" w:eastAsia="宋体" w:cs="宋体"/>
          <w:sz w:val="24"/>
          <w:szCs w:val="24"/>
        </w:rPr>
      </w:pPr>
      <w:r>
        <w:rPr>
          <w:rFonts w:hint="eastAsia" w:ascii="宋体" w:hAnsi="宋体" w:eastAsia="宋体" w:cs="宋体"/>
          <w:sz w:val="24"/>
          <w:szCs w:val="24"/>
        </w:rPr>
        <w:t>项目名称：</w:t>
      </w:r>
    </w:p>
    <w:p>
      <w:pPr>
        <w:ind w:firstLine="480"/>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bl>
      <w:tblPr>
        <w:tblStyle w:val="11"/>
        <w:tblW w:w="52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0"/>
        <w:gridCol w:w="1489"/>
        <w:gridCol w:w="566"/>
        <w:gridCol w:w="900"/>
        <w:gridCol w:w="1500"/>
        <w:gridCol w:w="1178"/>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生产厂家</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碳带</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腕带条码打印</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20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腕带（手写）</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GA</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草绿色1*100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6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橙色（儿童）1*100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6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橙色（成人）1*100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75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粉红（成人）1*100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40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粉色（儿童）1*100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25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蓝色（成人）1*100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650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腕带（条码）</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新生儿1*100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盒</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40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腕带吊牌</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多重耐药菌1*100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6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腕带吊牌</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防跌倒1*100</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腕带吊牌</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易走失1*100</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 </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备注：</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1、投标人应当按照招标文件采购需求及相关报价要求填写。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3、本表中项目总报价应与开标一览表中项目总报价保持一致。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4、报价保留至小数点后两位，四舍五入。</w:t>
      </w:r>
    </w:p>
    <w:p>
      <w:pPr>
        <w:jc w:val="right"/>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签章：__________________</w:t>
      </w:r>
    </w:p>
    <w:p>
      <w:pPr>
        <w:pStyle w:val="15"/>
        <w:rPr>
          <w:rFonts w:hint="eastAsia"/>
        </w:rPr>
      </w:pPr>
    </w:p>
    <w:p>
      <w:pPr>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6"/>
        <w:bidi w:val="0"/>
        <w:ind w:left="0" w:leftChars="0" w:firstLine="0" w:firstLineChars="0"/>
        <w:rPr>
          <w:rFonts w:hint="eastAsia"/>
          <w:lang w:val="en-US" w:eastAsia="zh-CN"/>
        </w:rPr>
      </w:pPr>
      <w:r>
        <w:rPr>
          <w:rFonts w:hint="eastAsia"/>
        </w:rPr>
        <w:t>法定代表人身份证明</w:t>
      </w:r>
      <w:bookmarkEnd w:id="1"/>
      <w:r>
        <w:rPr>
          <w:rFonts w:hint="eastAsia"/>
          <w:lang w:val="en-US" w:eastAsia="zh-CN"/>
        </w:rPr>
        <w:t>书</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0"/>
        <w:spacing w:line="206" w:lineRule="atLeast"/>
        <w:ind w:firstLine="567"/>
        <w:jc w:val="both"/>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0"/>
        <w:spacing w:line="206" w:lineRule="atLeast"/>
        <w:ind w:firstLine="567"/>
        <w:jc w:val="center"/>
        <w:rPr>
          <w:rFonts w:hint="eastAsia" w:ascii="宋体" w:hAnsi="宋体" w:eastAsia="宋体" w:cs="宋体"/>
          <w:color w:val="000000"/>
          <w:sz w:val="24"/>
          <w:szCs w:val="24"/>
        </w:rPr>
      </w:pPr>
    </w:p>
    <w:p>
      <w:pPr>
        <w:pStyle w:val="10"/>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15"/>
        <w:rPr>
          <w:rFonts w:hint="eastAsia" w:ascii="宋体" w:hAnsi="宋体" w:eastAsia="宋体" w:cs="宋体"/>
          <w:b/>
          <w:bCs/>
          <w:sz w:val="24"/>
          <w:szCs w:val="24"/>
          <w:lang w:val="en-US" w:eastAsia="zh-CN"/>
        </w:rPr>
      </w:pPr>
    </w:p>
    <w:p>
      <w:pPr>
        <w:pStyle w:val="6"/>
        <w:bidi w:val="0"/>
        <w:rPr>
          <w:rFonts w:hint="eastAsia"/>
        </w:rPr>
      </w:pPr>
      <w:r>
        <w:rPr>
          <w:rFonts w:hint="eastAsia"/>
          <w:lang w:val="en-US" w:eastAsia="zh-CN"/>
        </w:rPr>
        <w:t>法定代表人</w:t>
      </w:r>
      <w:r>
        <w:rPr>
          <w:rFonts w:hint="eastAsia"/>
        </w:rPr>
        <w:t>授权委托书</w:t>
      </w:r>
      <w:bookmarkEnd w:id="2"/>
    </w:p>
    <w:p>
      <w:pPr>
        <w:pStyle w:val="10"/>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0"/>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0"/>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0"/>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0"/>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0"/>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ind w:firstLine="567"/>
        <w:jc w:val="both"/>
        <w:outlineLvl w:val="9"/>
        <w:rPr>
          <w:rFonts w:hint="eastAsia" w:ascii="宋体" w:hAnsi="宋体" w:eastAsia="宋体" w:cs="宋体"/>
          <w:color w:val="000000"/>
          <w:sz w:val="24"/>
          <w:szCs w:val="24"/>
        </w:rPr>
      </w:pPr>
    </w:p>
    <w:p>
      <w:pPr>
        <w:pStyle w:val="10"/>
        <w:spacing w:line="100" w:lineRule="atLeast"/>
        <w:jc w:val="both"/>
        <w:outlineLvl w:val="9"/>
        <w:rPr>
          <w:rFonts w:hint="eastAsia" w:ascii="宋体" w:hAnsi="宋体" w:eastAsia="宋体" w:cs="宋体"/>
          <w:color w:val="000000"/>
          <w:sz w:val="24"/>
          <w:szCs w:val="24"/>
        </w:rPr>
      </w:pPr>
    </w:p>
    <w:p>
      <w:pPr>
        <w:pStyle w:val="8"/>
        <w:jc w:val="center"/>
        <w:outlineLvl w:val="9"/>
        <w:rPr>
          <w:rFonts w:hint="eastAsia" w:ascii="宋体" w:hAnsi="宋体" w:eastAsia="宋体" w:cs="宋体"/>
          <w:b/>
          <w:bCs/>
          <w:sz w:val="24"/>
          <w:szCs w:val="24"/>
        </w:rPr>
      </w:pPr>
      <w:bookmarkStart w:id="3" w:name="_Toc431"/>
    </w:p>
    <w:p>
      <w:pPr>
        <w:pStyle w:val="6"/>
        <w:bidi w:val="0"/>
        <w:rPr>
          <w:rFonts w:hint="eastAsia"/>
        </w:rPr>
      </w:pPr>
      <w:r>
        <w:rPr>
          <w:rFonts w:hint="eastAsia"/>
        </w:rPr>
        <w:t>资格审查资料</w:t>
      </w:r>
      <w:bookmarkEnd w:id="3"/>
    </w:p>
    <w:p>
      <w:pPr>
        <w:pStyle w:val="8"/>
        <w:numPr>
          <w:ilvl w:val="0"/>
          <w:numId w:val="10"/>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1"/>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8"/>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suppressLineNumbers w:val="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（1）独立承担民事责任的能力</w:t>
      </w:r>
      <w:bookmarkEnd w:id="6"/>
    </w:p>
    <w:p>
      <w:pPr>
        <w:pStyle w:val="16"/>
        <w:rPr>
          <w:rFonts w:hint="eastAsia" w:ascii="宋体" w:hAnsi="宋体" w:eastAsia="宋体" w:cs="宋体"/>
        </w:rPr>
      </w:pPr>
    </w:p>
    <w:p>
      <w:pPr>
        <w:pStyle w:val="16"/>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营业执照需加盖公章</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widowControl/>
        <w:numPr>
          <w:ilvl w:val="0"/>
          <w:numId w:val="11"/>
        </w:numPr>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15"/>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15"/>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6"/>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widowControl/>
        <w:numPr>
          <w:ilvl w:val="0"/>
          <w:numId w:val="11"/>
        </w:numPr>
        <w:jc w:val="center"/>
        <w:outlineLvl w:val="4"/>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val="en-US" w:eastAsia="zh-CN" w:bidi="ar"/>
        </w:rPr>
        <w:t xml:space="preserve"> 特定证书</w:t>
      </w:r>
    </w:p>
    <w:p>
      <w:pPr>
        <w:pStyle w:val="16"/>
        <w:numPr>
          <w:ilvl w:val="0"/>
          <w:numId w:val="0"/>
        </w:numPr>
        <w:ind w:right="0" w:rightChars="0" w:firstLine="280" w:firstLineChars="100"/>
        <w:rPr>
          <w:rFonts w:hint="eastAsia" w:ascii="宋体" w:hAnsi="宋体" w:eastAsia="宋体" w:cs="宋体"/>
          <w:sz w:val="28"/>
          <w:szCs w:val="28"/>
          <w:lang w:val="en-US" w:eastAsia="zh-CN"/>
        </w:rPr>
      </w:pPr>
    </w:p>
    <w:p>
      <w:pPr>
        <w:pStyle w:val="16"/>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检测报告加盖公章</w:t>
      </w:r>
    </w:p>
    <w:p>
      <w:pPr>
        <w:pStyle w:val="16"/>
        <w:numPr>
          <w:ilvl w:val="0"/>
          <w:numId w:val="0"/>
        </w:numPr>
        <w:ind w:right="0" w:rightChars="0"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证书加盖公章</w:t>
      </w: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16"/>
        <w:numPr>
          <w:ilvl w:val="0"/>
          <w:numId w:val="0"/>
        </w:numPr>
        <w:rPr>
          <w:rFonts w:hint="eastAsia" w:ascii="宋体" w:hAnsi="宋体" w:eastAsia="宋体" w:cs="宋体"/>
          <w:lang w:val="en-US" w:eastAsia="zh-CN"/>
        </w:rPr>
      </w:pPr>
    </w:p>
    <w:bookmarkEnd w:id="5"/>
    <w:p>
      <w:pPr>
        <w:pStyle w:val="6"/>
        <w:bidi w:val="0"/>
        <w:rPr>
          <w:rFonts w:hint="eastAsia"/>
          <w:lang w:val="en-US" w:eastAsia="zh-CN"/>
        </w:rPr>
      </w:pPr>
      <w:r>
        <w:rPr>
          <w:rFonts w:hint="eastAsia"/>
          <w:lang w:val="en-US" w:eastAsia="zh-CN"/>
        </w:rPr>
        <w:t>技术和服务要求响应偏离表</w:t>
      </w:r>
    </w:p>
    <w:p>
      <w:pPr>
        <w:pStyle w:val="9"/>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1"/>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15"/>
        <w:rPr>
          <w:rFonts w:hint="eastAsia"/>
        </w:rPr>
      </w:pPr>
    </w:p>
    <w:p>
      <w:pPr>
        <w:numPr>
          <w:ilvl w:val="0"/>
          <w:numId w:val="12"/>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2"/>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2"/>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2"/>
        </w:numPr>
        <w:ind w:left="0" w:leftChars="0" w:firstLine="480" w:firstLineChars="0"/>
      </w:pPr>
      <w:r>
        <w:rPr>
          <w:rFonts w:hint="eastAsia"/>
          <w:lang w:eastAsia="zh-CN"/>
        </w:rPr>
        <w:t>“</w:t>
      </w:r>
      <w:r>
        <w:t>备注</w:t>
      </w:r>
      <w:r>
        <w:rPr>
          <w:rFonts w:hint="eastAsia"/>
          <w:lang w:eastAsia="zh-CN"/>
        </w:rPr>
        <w:t>”</w:t>
      </w:r>
      <w:r>
        <w:t>处可填写偏离情况的说明。</w:t>
      </w:r>
    </w:p>
    <w:p>
      <w:pPr>
        <w:pStyle w:val="15"/>
      </w:pPr>
    </w:p>
    <w:p>
      <w:pPr>
        <w:ind w:firstLine="480"/>
      </w:pPr>
    </w:p>
    <w:p>
      <w:pPr>
        <w:pStyle w:val="15"/>
      </w:pPr>
    </w:p>
    <w:p>
      <w:pPr>
        <w:pStyle w:val="6"/>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6"/>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8"/>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D0CFD"/>
    <w:multiLevelType w:val="singleLevel"/>
    <w:tmpl w:val="9D3D0CFD"/>
    <w:lvl w:ilvl="0" w:tentative="0">
      <w:start w:val="1"/>
      <w:numFmt w:val="decimal"/>
      <w:lvlText w:val="%1."/>
      <w:lvlJc w:val="left"/>
      <w:pPr>
        <w:ind w:left="425" w:hanging="425"/>
      </w:pPr>
      <w:rPr>
        <w:rFonts w:hint="default"/>
      </w:rPr>
    </w:lvl>
  </w:abstractNum>
  <w:abstractNum w:abstractNumId="1">
    <w:nsid w:val="C67D58A8"/>
    <w:multiLevelType w:val="singleLevel"/>
    <w:tmpl w:val="C67D58A8"/>
    <w:lvl w:ilvl="0" w:tentative="0">
      <w:start w:val="2"/>
      <w:numFmt w:val="decimal"/>
      <w:suff w:val="space"/>
      <w:lvlText w:val="%1."/>
      <w:lvlJc w:val="left"/>
    </w:lvl>
  </w:abstractNum>
  <w:abstractNum w:abstractNumId="2">
    <w:nsid w:val="C6F0B008"/>
    <w:multiLevelType w:val="singleLevel"/>
    <w:tmpl w:val="C6F0B008"/>
    <w:lvl w:ilvl="0" w:tentative="0">
      <w:start w:val="1"/>
      <w:numFmt w:val="decimal"/>
      <w:lvlText w:val="%1."/>
      <w:lvlJc w:val="left"/>
      <w:pPr>
        <w:ind w:left="425" w:hanging="425"/>
      </w:pPr>
      <w:rPr>
        <w:rFonts w:hint="default"/>
      </w:rPr>
    </w:lvl>
  </w:abstractNum>
  <w:abstractNum w:abstractNumId="3">
    <w:nsid w:val="E5007C6D"/>
    <w:multiLevelType w:val="singleLevel"/>
    <w:tmpl w:val="E5007C6D"/>
    <w:lvl w:ilvl="0" w:tentative="0">
      <w:start w:val="2"/>
      <w:numFmt w:val="decimal"/>
      <w:suff w:val="space"/>
      <w:lvlText w:val="%1."/>
      <w:lvlJc w:val="left"/>
    </w:lvl>
  </w:abstractNum>
  <w:abstractNum w:abstractNumId="4">
    <w:nsid w:val="E6508049"/>
    <w:multiLevelType w:val="singleLevel"/>
    <w:tmpl w:val="E6508049"/>
    <w:lvl w:ilvl="0" w:tentative="0">
      <w:start w:val="1"/>
      <w:numFmt w:val="chineseCounting"/>
      <w:pStyle w:val="6"/>
      <w:suff w:val="nothing"/>
      <w:lvlText w:val="%1、"/>
      <w:lvlJc w:val="left"/>
      <w:pPr>
        <w:ind w:left="0" w:firstLine="420"/>
      </w:pPr>
      <w:rPr>
        <w:rFonts w:hint="eastAsia"/>
      </w:rPr>
    </w:lvl>
  </w:abstractNum>
  <w:abstractNum w:abstractNumId="5">
    <w:nsid w:val="F8DBE9FA"/>
    <w:multiLevelType w:val="singleLevel"/>
    <w:tmpl w:val="F8DBE9FA"/>
    <w:lvl w:ilvl="0" w:tentative="0">
      <w:start w:val="2"/>
      <w:numFmt w:val="decimal"/>
      <w:suff w:val="space"/>
      <w:lvlText w:val="（%1）"/>
      <w:lvlJc w:val="left"/>
    </w:lvl>
  </w:abstractNum>
  <w:abstractNum w:abstractNumId="6">
    <w:nsid w:val="FA93FC29"/>
    <w:multiLevelType w:val="singleLevel"/>
    <w:tmpl w:val="FA93FC29"/>
    <w:lvl w:ilvl="0" w:tentative="0">
      <w:start w:val="1"/>
      <w:numFmt w:val="decimal"/>
      <w:lvlText w:val="%1."/>
      <w:lvlJc w:val="left"/>
      <w:pPr>
        <w:ind w:left="425" w:hanging="425"/>
      </w:pPr>
      <w:rPr>
        <w:rFonts w:hint="default"/>
      </w:rPr>
    </w:lvl>
  </w:abstractNum>
  <w:abstractNum w:abstractNumId="7">
    <w:nsid w:val="0CC03E36"/>
    <w:multiLevelType w:val="singleLevel"/>
    <w:tmpl w:val="0CC03E36"/>
    <w:lvl w:ilvl="0" w:tentative="0">
      <w:start w:val="1"/>
      <w:numFmt w:val="decimal"/>
      <w:lvlText w:val="%1."/>
      <w:lvlJc w:val="left"/>
      <w:pPr>
        <w:tabs>
          <w:tab w:val="left" w:pos="312"/>
        </w:tabs>
      </w:pPr>
    </w:lvl>
  </w:abstractNum>
  <w:abstractNum w:abstractNumId="8">
    <w:nsid w:val="100E24E2"/>
    <w:multiLevelType w:val="singleLevel"/>
    <w:tmpl w:val="100E24E2"/>
    <w:lvl w:ilvl="0" w:tentative="0">
      <w:start w:val="1"/>
      <w:numFmt w:val="chineseCounting"/>
      <w:suff w:val="nothing"/>
      <w:lvlText w:val="%1、"/>
      <w:lvlJc w:val="left"/>
      <w:pPr>
        <w:ind w:left="0" w:firstLine="420"/>
      </w:pPr>
      <w:rPr>
        <w:rFonts w:hint="eastAsia"/>
      </w:rPr>
    </w:lvl>
  </w:abstractNum>
  <w:abstractNum w:abstractNumId="9">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0">
    <w:nsid w:val="61053E3C"/>
    <w:multiLevelType w:val="singleLevel"/>
    <w:tmpl w:val="61053E3C"/>
    <w:lvl w:ilvl="0" w:tentative="0">
      <w:start w:val="1"/>
      <w:numFmt w:val="decimal"/>
      <w:suff w:val="space"/>
      <w:lvlText w:val="%1)"/>
      <w:lvlJc w:val="left"/>
    </w:lvl>
  </w:abstractNum>
  <w:abstractNum w:abstractNumId="11">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4"/>
  </w:num>
  <w:num w:numId="2">
    <w:abstractNumId w:val="11"/>
  </w:num>
  <w:num w:numId="3">
    <w:abstractNumId w:val="6"/>
  </w:num>
  <w:num w:numId="4">
    <w:abstractNumId w:val="3"/>
  </w:num>
  <w:num w:numId="5">
    <w:abstractNumId w:val="1"/>
  </w:num>
  <w:num w:numId="6">
    <w:abstractNumId w:val="10"/>
  </w:num>
  <w:num w:numId="7">
    <w:abstractNumId w:val="2"/>
  </w:num>
  <w:num w:numId="8">
    <w:abstractNumId w:val="0"/>
  </w:num>
  <w:num w:numId="9">
    <w:abstractNumId w:val="8"/>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20C60B9"/>
    <w:rsid w:val="05B21246"/>
    <w:rsid w:val="07FE06AB"/>
    <w:rsid w:val="08590AEE"/>
    <w:rsid w:val="09866516"/>
    <w:rsid w:val="0A9D40DA"/>
    <w:rsid w:val="102B4611"/>
    <w:rsid w:val="1194561C"/>
    <w:rsid w:val="120B6411"/>
    <w:rsid w:val="145D3A41"/>
    <w:rsid w:val="15FA6724"/>
    <w:rsid w:val="186E57CE"/>
    <w:rsid w:val="19561905"/>
    <w:rsid w:val="19CE6AC9"/>
    <w:rsid w:val="19FD6EB2"/>
    <w:rsid w:val="1C4B04E6"/>
    <w:rsid w:val="1C4B1417"/>
    <w:rsid w:val="1CA23A42"/>
    <w:rsid w:val="22D71934"/>
    <w:rsid w:val="22D96306"/>
    <w:rsid w:val="24336907"/>
    <w:rsid w:val="262B318B"/>
    <w:rsid w:val="276E1D48"/>
    <w:rsid w:val="28E074A9"/>
    <w:rsid w:val="296C6FA3"/>
    <w:rsid w:val="2BD66B4C"/>
    <w:rsid w:val="2E4455BF"/>
    <w:rsid w:val="30E604FD"/>
    <w:rsid w:val="3BEA250F"/>
    <w:rsid w:val="3E003EAC"/>
    <w:rsid w:val="3FBA0CA2"/>
    <w:rsid w:val="40EF1203"/>
    <w:rsid w:val="417B62AD"/>
    <w:rsid w:val="42891F7B"/>
    <w:rsid w:val="44CB2902"/>
    <w:rsid w:val="45662E1A"/>
    <w:rsid w:val="46675FD7"/>
    <w:rsid w:val="46FF778E"/>
    <w:rsid w:val="48DA439B"/>
    <w:rsid w:val="493B71B0"/>
    <w:rsid w:val="50164E3A"/>
    <w:rsid w:val="50D20159"/>
    <w:rsid w:val="57941C7C"/>
    <w:rsid w:val="5937218D"/>
    <w:rsid w:val="5F373910"/>
    <w:rsid w:val="60D81F40"/>
    <w:rsid w:val="631269C6"/>
    <w:rsid w:val="63CC03B5"/>
    <w:rsid w:val="64E4442F"/>
    <w:rsid w:val="669021AE"/>
    <w:rsid w:val="6AFF0A3C"/>
    <w:rsid w:val="6F792101"/>
    <w:rsid w:val="6F940589"/>
    <w:rsid w:val="733D77A1"/>
    <w:rsid w:val="796173B0"/>
    <w:rsid w:val="7C28252F"/>
    <w:rsid w:val="7CBB5B51"/>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link w:val="22"/>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6">
    <w:name w:val="heading 3"/>
    <w:basedOn w:val="1"/>
    <w:next w:val="1"/>
    <w:link w:val="14"/>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7">
    <w:name w:val="heading 4"/>
    <w:basedOn w:val="1"/>
    <w:next w:val="1"/>
    <w:link w:val="18"/>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next w:val="3"/>
    <w:link w:val="20"/>
    <w:qFormat/>
    <w:uiPriority w:val="0"/>
    <w:pPr>
      <w:spacing w:line="240" w:lineRule="auto"/>
      <w:ind w:firstLine="795"/>
    </w:pPr>
    <w:rPr>
      <w:color w:val="auto"/>
      <w:sz w:val="32"/>
      <w:szCs w:val="32"/>
    </w:rPr>
  </w:style>
  <w:style w:type="paragraph" w:styleId="3">
    <w:name w:val="envelope return"/>
    <w:basedOn w:val="1"/>
    <w:qFormat/>
    <w:uiPriority w:val="0"/>
    <w:pPr>
      <w:snapToGrid w:val="0"/>
    </w:pPr>
    <w:rPr>
      <w:rFonts w:ascii="Arial" w:hAnsi="Arial"/>
    </w:rPr>
  </w:style>
  <w:style w:type="paragraph" w:styleId="8">
    <w:name w:val="Body Text"/>
    <w:basedOn w:val="1"/>
    <w:qFormat/>
    <w:uiPriority w:val="0"/>
    <w:rPr>
      <w:rFonts w:ascii="楷体_GB2312" w:hAnsi="楷体_GB2312" w:eastAsiaTheme="minorEastAsia"/>
      <w:sz w:val="24"/>
      <w:szCs w:val="28"/>
    </w:rPr>
  </w:style>
  <w:style w:type="paragraph" w:styleId="9">
    <w:name w:val="Date"/>
    <w:basedOn w:val="1"/>
    <w:next w:val="1"/>
    <w:qFormat/>
    <w:uiPriority w:val="0"/>
  </w:style>
  <w:style w:type="paragraph" w:styleId="10">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3 Char"/>
    <w:link w:val="6"/>
    <w:qFormat/>
    <w:uiPriority w:val="0"/>
    <w:rPr>
      <w:rFonts w:eastAsiaTheme="minorEastAsia"/>
      <w:b/>
      <w:sz w:val="28"/>
    </w:rPr>
  </w:style>
  <w:style w:type="paragraph" w:customStyle="1" w:styleId="15">
    <w:name w:val="正文（缩进）"/>
    <w:basedOn w:val="1"/>
    <w:qFormat/>
    <w:uiPriority w:val="0"/>
    <w:pPr>
      <w:ind w:firstLine="480" w:firstLineChars="200"/>
    </w:pPr>
  </w:style>
  <w:style w:type="paragraph" w:styleId="16">
    <w:name w:val="List Paragraph"/>
    <w:basedOn w:val="1"/>
    <w:qFormat/>
    <w:uiPriority w:val="34"/>
    <w:pPr>
      <w:spacing w:line="240" w:lineRule="auto"/>
      <w:ind w:firstLine="420"/>
    </w:pPr>
    <w:rPr>
      <w:rFonts w:ascii="Calibri" w:hAnsi="Calibri"/>
      <w:color w:val="auto"/>
    </w:rPr>
  </w:style>
  <w:style w:type="paragraph" w:customStyle="1" w:styleId="17">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8">
    <w:name w:val="标题 4 Char"/>
    <w:link w:val="7"/>
    <w:qFormat/>
    <w:uiPriority w:val="0"/>
    <w:rPr>
      <w:rFonts w:ascii="Arial" w:hAnsi="Arial" w:eastAsia="黑体"/>
      <w:b/>
      <w:sz w:val="28"/>
    </w:rPr>
  </w:style>
  <w:style w:type="character" w:customStyle="1" w:styleId="19">
    <w:name w:val="font11"/>
    <w:basedOn w:val="13"/>
    <w:qFormat/>
    <w:uiPriority w:val="0"/>
    <w:rPr>
      <w:rFonts w:hint="eastAsia" w:ascii="等线" w:hAnsi="等线" w:eastAsia="等线" w:cs="等线"/>
      <w:color w:val="000000"/>
      <w:sz w:val="22"/>
      <w:szCs w:val="22"/>
      <w:u w:val="none"/>
    </w:rPr>
  </w:style>
  <w:style w:type="character" w:customStyle="1" w:styleId="20">
    <w:name w:val="正文文本缩进 Char"/>
    <w:link w:val="2"/>
    <w:qFormat/>
    <w:uiPriority w:val="0"/>
    <w:rPr>
      <w:color w:val="auto"/>
      <w:sz w:val="32"/>
      <w:szCs w:val="32"/>
    </w:rPr>
  </w:style>
  <w:style w:type="character" w:customStyle="1" w:styleId="21">
    <w:name w:val="font01"/>
    <w:basedOn w:val="13"/>
    <w:qFormat/>
    <w:uiPriority w:val="0"/>
    <w:rPr>
      <w:rFonts w:hint="default" w:ascii="Arial" w:hAnsi="Arial" w:cs="Arial"/>
      <w:color w:val="000000"/>
      <w:sz w:val="20"/>
      <w:szCs w:val="20"/>
      <w:u w:val="none"/>
    </w:rPr>
  </w:style>
  <w:style w:type="character" w:customStyle="1" w:styleId="22">
    <w:name w:val="标题 2 Char"/>
    <w:link w:val="5"/>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4740</Words>
  <Characters>5023</Characters>
  <Lines>0</Lines>
  <Paragraphs>0</Paragraphs>
  <TotalTime>5</TotalTime>
  <ScaleCrop>false</ScaleCrop>
  <LinksUpToDate>false</LinksUpToDate>
  <CharactersWithSpaces>6103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2022-09-02T05:48:00Z</cp:lastPrinted>
  <dcterms:modified xsi:type="dcterms:W3CDTF">2022-09-03T03:14:42Z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B3BE2541069C4FFD941A11E7F8BB8470</vt:lpwstr>
  </property>
</Properties>
</file>