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kern w:val="0"/>
          <w:sz w:val="32"/>
          <w:szCs w:val="32"/>
        </w:rPr>
        <w:t>丹阳市人</w:t>
      </w:r>
      <w:r>
        <w:rPr>
          <w:rFonts w:hint="eastAsia" w:ascii="微软雅黑" w:hAnsi="微软雅黑" w:cs="微软雅黑"/>
          <w:sz w:val="32"/>
          <w:szCs w:val="32"/>
        </w:rPr>
        <w:t>民医院</w:t>
      </w:r>
      <w:r>
        <w:rPr>
          <w:rFonts w:hint="eastAsia" w:ascii="微软雅黑" w:hAnsi="微软雅黑" w:cs="微软雅黑"/>
          <w:kern w:val="0"/>
          <w:sz w:val="32"/>
          <w:szCs w:val="32"/>
          <w:lang w:val="en-US" w:eastAsia="zh-CN"/>
        </w:rPr>
        <w:t>三号楼污水预处理设备采购</w:t>
      </w:r>
      <w:r>
        <w:rPr>
          <w:rFonts w:hint="eastAsia" w:ascii="微软雅黑" w:hAnsi="微软雅黑" w:cs="微软雅黑"/>
          <w:kern w:val="0"/>
          <w:sz w:val="32"/>
          <w:szCs w:val="32"/>
        </w:rPr>
        <w:t>招</w:t>
      </w:r>
      <w:r>
        <w:rPr>
          <w:rFonts w:hint="eastAsia" w:ascii="微软雅黑" w:hAnsi="微软雅黑" w:cs="微软雅黑"/>
          <w:sz w:val="32"/>
          <w:szCs w:val="32"/>
        </w:rPr>
        <w:t>标需求</w:t>
      </w:r>
    </w:p>
    <w:p/>
    <w:p>
      <w:pPr>
        <w:pStyle w:val="2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2"/>
        </w:numPr>
        <w:ind w:left="0" w:leftChars="0" w:firstLine="0" w:firstLineChars="0"/>
      </w:pPr>
      <w:r>
        <w:rPr>
          <w:rFonts w:hint="eastAsia" w:ascii="宋体" w:hAnsi="宋体" w:cs="宋体"/>
        </w:rPr>
        <w:t>名称：</w:t>
      </w:r>
      <w:r>
        <w:rPr>
          <w:rFonts w:hint="eastAsia" w:ascii="宋体" w:hAnsi="宋体" w:eastAsia="宋体" w:cs="宋体"/>
        </w:rPr>
        <w:t>丹</w:t>
      </w:r>
      <w:r>
        <w:rPr>
          <w:rFonts w:hint="eastAsia" w:ascii="宋体" w:hAnsi="宋体" w:eastAsia="宋体" w:cs="宋体"/>
          <w:lang w:val="en-US" w:eastAsia="zh-CN"/>
        </w:rPr>
        <w:t>阳市人民医院三号楼污水预处理设备采购项目；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编号:DRY-CG-2023016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eastAsia="宋体" w:cs="宋体"/>
          <w:color w:val="FF0000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控制价：</w:t>
      </w:r>
      <w:r>
        <w:rPr>
          <w:rFonts w:hint="eastAsia" w:ascii="宋体" w:hAnsi="宋体" w:cs="宋体"/>
          <w:lang w:val="en-US" w:eastAsia="zh-CN"/>
        </w:rPr>
        <w:t>69970</w:t>
      </w:r>
      <w:r>
        <w:rPr>
          <w:rFonts w:hint="eastAsia" w:ascii="宋体" w:hAnsi="宋体" w:eastAsia="宋体" w:cs="宋体"/>
          <w:lang w:val="en-US" w:eastAsia="zh-CN"/>
        </w:rPr>
        <w:t>元（施工中如出现2000元以下的工程增补，由中标单位承担，院方不予结算。如工程增补超过2000元，则审计结算超额部分）。</w:t>
      </w:r>
    </w:p>
    <w:p>
      <w:pPr>
        <w:pStyle w:val="2"/>
        <w:numPr>
          <w:ilvl w:val="3"/>
          <w:numId w:val="0"/>
        </w:numPr>
        <w:jc w:val="center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报名时间：202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 xml:space="preserve">年 </w:t>
      </w: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>15</w:t>
      </w:r>
      <w:r>
        <w:rPr>
          <w:rFonts w:hint="eastAsia" w:ascii="宋体" w:hAnsi="宋体" w:cs="宋体"/>
          <w:bCs/>
        </w:rPr>
        <w:t xml:space="preserve">   日至202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 xml:space="preserve"> 月</w:t>
      </w:r>
      <w:r>
        <w:rPr>
          <w:rFonts w:hint="eastAsia" w:ascii="宋体" w:hAnsi="宋体" w:cs="宋体"/>
          <w:bCs/>
          <w:lang w:val="en-US" w:eastAsia="zh-CN"/>
        </w:rPr>
        <w:t>21</w:t>
      </w:r>
      <w:bookmarkStart w:id="8" w:name="_GoBack"/>
      <w:bookmarkEnd w:id="8"/>
      <w:r>
        <w:rPr>
          <w:rFonts w:hint="eastAsia" w:ascii="宋体" w:hAnsi="宋体" w:cs="宋体"/>
          <w:bCs/>
        </w:rPr>
        <w:t xml:space="preserve">  日(节假日除外）；</w:t>
      </w:r>
    </w:p>
    <w:p>
      <w:pPr>
        <w:numPr>
          <w:ilvl w:val="0"/>
          <w:numId w:val="0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  下午2:30-5:30；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报名地点：丹阳市教育印刷厂三楼丹阳市人民医院采购中心；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 xml:space="preserve"> 15189172512</w:t>
      </w:r>
      <w:r>
        <w:rPr>
          <w:rFonts w:hint="eastAsia" w:ascii="宋体" w:hAnsi="宋体" w:cs="宋体"/>
          <w:bCs/>
        </w:rPr>
        <w:t>。</w:t>
      </w:r>
    </w:p>
    <w:p>
      <w:pPr>
        <w:pStyle w:val="2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rFonts w:hint="eastAsia"/>
        </w:rPr>
        <w:t xml:space="preserve"> </w:t>
      </w:r>
      <w:r>
        <w:rPr>
          <w:b/>
        </w:rPr>
        <w:t>投标人应具备《中华人民共和国政府采购法》第二十二条规定的条件，提供下列材料：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b/>
        </w:rPr>
        <w:t>本项目特定的资格要求：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eastAsia="宋体"/>
        </w:rPr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</w:t>
      </w:r>
      <w:r>
        <w:rPr>
          <w:rFonts w:hint="eastAsia" w:eastAsia="宋体"/>
        </w:rPr>
        <w:t>响应）。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textAlignment w:val="auto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有相似服务经历，提供一份合同复印件。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招标前需查看现场，有疑问当面与院方沟通，否则视为无资格参加投标。</w:t>
      </w:r>
    </w:p>
    <w:p>
      <w:pPr>
        <w:pStyle w:val="2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采购</w:t>
      </w:r>
      <w:r>
        <w:rPr>
          <w:rFonts w:hint="eastAsia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预处理设备一套（含配套水电等所有安装工作）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搭建板房（含门、窗、灯、洗眼器、地面铺设地砖等）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移装空调（移装方案自拟，报甲方确认）</w:t>
      </w:r>
    </w:p>
    <w:p>
      <w:pPr>
        <w:pStyle w:val="2"/>
        <w:numPr>
          <w:ilvl w:val="3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设备技术</w:t>
      </w:r>
      <w:r>
        <w:rPr>
          <w:rFonts w:hint="eastAsia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1.设备无固定型号，能实现自动投药，</w:t>
      </w:r>
      <w:r>
        <w:rPr>
          <w:rFonts w:hint="eastAsia" w:ascii="华文细黑" w:hAnsi="华文细黑" w:eastAsia="华文细黑" w:cs="华文细黑"/>
          <w:bCs/>
          <w:sz w:val="24"/>
          <w:szCs w:val="24"/>
        </w:rPr>
        <w:t>余氯在线检测</w:t>
      </w:r>
      <w:r>
        <w:rPr>
          <w:rFonts w:hint="eastAsia" w:ascii="华文细黑" w:hAnsi="华文细黑" w:eastAsia="华文细黑" w:cs="华文细黑"/>
          <w:bCs/>
          <w:sz w:val="24"/>
          <w:szCs w:val="24"/>
          <w:lang w:eastAsia="zh-CN"/>
        </w:rPr>
        <w:t>，</w:t>
      </w:r>
      <w:r>
        <w:rPr>
          <w:rFonts w:hint="eastAsia" w:ascii="华文细黑" w:hAnsi="华文细黑" w:eastAsia="华文细黑" w:cs="华文细黑"/>
          <w:bCs/>
          <w:sz w:val="24"/>
          <w:szCs w:val="24"/>
          <w:lang w:val="en-US" w:eastAsia="zh-CN"/>
        </w:rPr>
        <w:t>触摸屏显示、触控</w:t>
      </w: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 xml:space="preserve">2.安装电控设施，保证池内污水暂存1小时，余氯含量为4-6mg/L，每间隔1小时水泵自启、停一次排放污水（污水池现有一只水泵，此次报价无需包含水泵）。 </w:t>
      </w:r>
    </w:p>
    <w:tbl>
      <w:tblPr>
        <w:tblStyle w:val="17"/>
        <w:tblW w:w="8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061"/>
        <w:gridCol w:w="4198"/>
        <w:gridCol w:w="793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货物名称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技术参数及要求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数量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液位控制器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FK精度型；耐腐蚀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设备主机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、15mmPP板，主体分为A剂+搅拌+B剂+搅拌+加药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隔膜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泵(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台)，其中消毒段和清水段内衬15mmPP防腐层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支架部分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10#不锈钢方管、5#角钢；符合国标。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Y型过滤器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PE 材质 DN25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止回阀</w:t>
            </w:r>
          </w:p>
        </w:tc>
        <w:tc>
          <w:tcPr>
            <w:tcW w:w="4198" w:type="dxa"/>
            <w:vAlign w:val="center"/>
          </w:tcPr>
          <w:p>
            <w:pPr>
              <w:pStyle w:val="2"/>
              <w:pageBreakBefore w:val="0"/>
              <w:widowControl w:val="0"/>
              <w:numPr>
                <w:ilvl w:val="3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textAlignment w:val="auto"/>
              <w:rPr>
                <w:color w:val="FF000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  <w:szCs w:val="24"/>
              </w:rPr>
              <w:t>DN25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缺氧曝气系统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穿孔曝气；UPVC化工管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流量计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转子流量计，玻璃材质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余氯在线检测仪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无固定品牌，符合国标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智能控制柜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PLC自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控，带触摸屏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电线电缆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水管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符合国标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全套</w:t>
            </w: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全套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  <w:szCs w:val="24"/>
                <w:lang w:val="en-US" w:eastAsia="zh-CN"/>
              </w:rPr>
              <w:t>所用药剂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  <w:szCs w:val="24"/>
                <w:lang w:val="en-US" w:eastAsia="zh-CN"/>
              </w:rPr>
              <w:t>二氧化氯A、B剂。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设备净尺寸</w:t>
            </w:r>
          </w:p>
        </w:tc>
        <w:tc>
          <w:tcPr>
            <w:tcW w:w="419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设备净尺寸：长度≤1.6米；宽度≤0.9米；高度≤1.5米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注：1. 以上为预处理设备必备配置。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2. 设备型号及尺寸仅供参考，但必须达到达标排放的目的。</w:t>
      </w:r>
    </w:p>
    <w:p>
      <w:pPr>
        <w:pStyle w:val="2"/>
        <w:numPr>
          <w:ilvl w:val="3"/>
          <w:numId w:val="0"/>
        </w:numPr>
        <w:bidi w:val="0"/>
        <w:ind w:left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六、设备安装要求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.设备安装于发热门诊板房与3号楼之间的化粪池检修口上方（不得阻碍检修口开启）。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jc w:val="left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2.电源及水源需总务科现场确认后方可施工。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七、配套设施要求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1.将发热门诊南侧设备围栏拆除。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2.设备处需要搭建一间简易房避雨（尺寸由院方根据现场情况定，板材需符合消防规范），外观及材料需与现发热门诊板房相仿，应配有门、窗，简易房内地面需铺设地砖，内设立式洗脸盆一套，吸顶灯一套，洗眼器一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3.根据简易房建设需求，需将发热门诊南侧的空调外机进行必要移位（如铜管长度不够则需接铜管、添加制冷剂，移装后的空调提供2年质保），并上架。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八、调试要求：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1.调试期间使用二氧化氯A、B剂由施工方免费提供。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九、验收与质保要求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1.污水池内污水余氯含量为4-6mg/L。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2.水泵间隔1小时启、停一次，污水池高低水位监测装置灵敏，不得出现水泵“空打”现象。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3.空调移装后正常制冷。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4.简易房及内部附属设施符合院方要求。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5.施工过程重要工序拍照留证交院方。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6.质保期二年，从验收合格之日起计算。质保是指对所有施工项目的质保。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1.验收合格后二个月内，向施工方支付80%的工程款，质保期结束，向施工方支付20%余款。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十一、安全责任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1.施工单位交通工具自备，所有安全责任自负，与院方无涉。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十二</w:t>
      </w:r>
      <w:r>
        <w:rPr>
          <w:rFonts w:hint="eastAsia"/>
        </w:rPr>
        <w:t>、招标时间及地点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.4 投标文件1式</w:t>
      </w:r>
      <w:r>
        <w:rPr>
          <w:rFonts w:hint="eastAsia" w:ascii="宋体" w:hAnsi="宋体" w:cs="宋体"/>
          <w:bCs/>
          <w:lang w:val="en-US" w:eastAsia="zh-CN"/>
        </w:rPr>
        <w:t>1份</w:t>
      </w:r>
      <w:r>
        <w:rPr>
          <w:rFonts w:hint="eastAsia" w:ascii="宋体" w:hAnsi="宋体" w:cs="宋体"/>
          <w:bCs/>
        </w:rPr>
        <w:t>，开标时提供（格式参见第二部分）。</w:t>
      </w:r>
    </w:p>
    <w:p>
      <w:pPr>
        <w:rPr>
          <w:rFonts w:ascii="宋体" w:hAnsi="宋体" w:cs="宋体"/>
          <w:bCs/>
        </w:rPr>
      </w:pPr>
    </w:p>
    <w:p>
      <w:pPr>
        <w:pStyle w:val="2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十三</w:t>
      </w:r>
      <w:r>
        <w:rPr>
          <w:rFonts w:hint="eastAsia"/>
        </w:rPr>
        <w:t>、投标人报名时提交材料</w:t>
      </w:r>
    </w:p>
    <w:p>
      <w:r>
        <w:rPr>
          <w:rFonts w:hint="eastAsia"/>
          <w:lang w:val="en-US" w:eastAsia="zh-CN"/>
        </w:rPr>
        <w:t>9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营业执照复印件（复印件盖公章）；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2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w:t>丹</w:t>
      </w:r>
      <w:r>
        <w:rPr>
          <w:rFonts w:hint="eastAsia" w:ascii="宋体" w:hAnsi="宋体" w:eastAsia="宋体" w:cs="宋体"/>
          <w:lang w:val="en-US" w:eastAsia="zh-CN"/>
        </w:rPr>
        <w:t>阳市人民医院三号楼污水预处理设备采购项目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u w:val="single"/>
          <w:lang w:val="en-US" w:eastAsia="zh-CN"/>
        </w:rPr>
        <w:t>DRY-CG-2023016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1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开标一览表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8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商务条件响应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hwl/c8AAAD/AAAA&#10;DwAAAAAAAAABACAAAAAiAAAAZHJzL2Rvd25yZXYueG1sUEsBAhQAFAAAAAgAh07iQIGRGMGwAQAA&#10;cgMAAA4AAAAAAAAAAQAgAAAAHgEAAGRycy9lMm9Eb2MueG1sUEsFBgAAAAAGAAYAWQEAAEAFAAAA&#10;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eastAsia="宋体"/>
          <w:sz w:val="28"/>
          <w:szCs w:val="28"/>
          <w:u w:val="single"/>
        </w:rPr>
        <w:t>丹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>阳市人民医院三号楼污水预处理设备采购项目</w:t>
      </w:r>
      <w:r>
        <w:rPr>
          <w:rFonts w:hint="eastAsia" w:eastAsia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7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工程名称：</w: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hP4FrEBAABy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QgqnLA/897cfv35+F4ukzeCp&#10;5JAn/xgSO/IPqL+ScPihU66F9+RZYd6iFFucBacLTWljE2xKZ7pizNrvT9rDGIVm5831Wyn00V+o&#10;8pjkA8V7QCuSUcnABbPSavdAMZVV5TEk1XB4Z/o+j7V3Zw4OPHgg78WU/dxnsuK4GSfaG6z3LM3W&#10;B9N2Zxx5FLnstDZp1n/fsxLPX2X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BKE/gWsQEA&#10;AHIDAAAOAAAAAAAAAAEAIAAAAB4BAABkcnMvZTJvRG9jLnhtbFBLBQYAAAAABgAGAFkBAABBBQAA&#10;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阳市人民医院三号楼污水预处理设备采购项目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1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1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11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6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6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2"/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hint="eastAsia" w:cs="宋体"/>
          <w:sz w:val="32"/>
          <w:szCs w:val="32"/>
          <w:lang w:val="en-US" w:eastAsia="zh-CN"/>
        </w:rPr>
        <w:t>四</w:t>
      </w:r>
      <w:r>
        <w:rPr>
          <w:rFonts w:cs="宋体"/>
          <w:sz w:val="32"/>
          <w:szCs w:val="32"/>
        </w:rPr>
        <w:t>、授权委托书</w:t>
      </w:r>
      <w:bookmarkEnd w:id="3"/>
    </w:p>
    <w:p>
      <w:pPr>
        <w:pStyle w:val="16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6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6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6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6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6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6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      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1"/>
        <w:numPr>
          <w:ilvl w:val="0"/>
          <w:numId w:val="9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7"/>
        <w:tblpPr w:leftFromText="180" w:rightFromText="180" w:vertAnchor="text" w:horzAnchor="page" w:tblpX="1181" w:tblpY="925"/>
        <w:tblOverlap w:val="never"/>
        <w:tblW w:w="94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25"/>
        <w:gridCol w:w="1165"/>
        <w:gridCol w:w="1153"/>
        <w:gridCol w:w="2004"/>
        <w:gridCol w:w="1406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投标供应商名称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1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10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pStyle w:val="22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numPr>
          <w:ilvl w:val="0"/>
          <w:numId w:val="10"/>
        </w:numPr>
        <w:jc w:val="center"/>
        <w:outlineLvl w:val="4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成功案例合同</w:t>
      </w:r>
    </w:p>
    <w:p>
      <w:pPr>
        <w:numPr>
          <w:ilvl w:val="0"/>
          <w:numId w:val="10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1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1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spacing w:line="520" w:lineRule="exact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ind w:firstLine="0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六、设备技术</w:t>
      </w:r>
      <w:r>
        <w:rPr>
          <w:rFonts w:hint="eastAsia"/>
        </w:rPr>
        <w:t>要求响应偏离表</w:t>
      </w:r>
    </w:p>
    <w:p>
      <w:pPr>
        <w:pStyle w:val="14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7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1"/>
      </w:pPr>
    </w:p>
    <w:p>
      <w:pPr>
        <w:numPr>
          <w:ilvl w:val="0"/>
          <w:numId w:val="11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11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11"/>
        </w:numPr>
        <w:ind w:firstLine="480"/>
      </w:pP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11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1"/>
      </w:pPr>
    </w:p>
    <w:p>
      <w:pPr>
        <w:ind w:firstLine="480"/>
      </w:pPr>
    </w:p>
    <w:p>
      <w:pPr>
        <w:pStyle w:val="21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商务</w:t>
      </w:r>
      <w:r>
        <w:rPr>
          <w:rFonts w:hint="eastAsia"/>
          <w:lang w:val="en-US" w:eastAsia="zh-CN"/>
        </w:rPr>
        <w:t>要求</w:t>
      </w:r>
      <w:r>
        <w:rPr>
          <w:rFonts w:hint="eastAsia"/>
        </w:rPr>
        <w:t>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ACDB75C0"/>
    <w:multiLevelType w:val="singleLevel"/>
    <w:tmpl w:val="ACDB75C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B789F065"/>
    <w:multiLevelType w:val="singleLevel"/>
    <w:tmpl w:val="B789F06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color w:val="auto"/>
      </w:rPr>
    </w:lvl>
  </w:abstractNum>
  <w:abstractNum w:abstractNumId="3">
    <w:nsid w:val="DADE6FDC"/>
    <w:multiLevelType w:val="singleLevel"/>
    <w:tmpl w:val="DADE6F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9EB6DAA"/>
    <w:multiLevelType w:val="singleLevel"/>
    <w:tmpl w:val="E9EB6DA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6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abstractNum w:abstractNumId="9">
    <w:nsid w:val="60932507"/>
    <w:multiLevelType w:val="singleLevel"/>
    <w:tmpl w:val="6093250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65FF8D30"/>
    <w:multiLevelType w:val="singleLevel"/>
    <w:tmpl w:val="65FF8D3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4840E11"/>
    <w:rsid w:val="09294C09"/>
    <w:rsid w:val="0D3E3974"/>
    <w:rsid w:val="0D5F7C0C"/>
    <w:rsid w:val="10BC5B5D"/>
    <w:rsid w:val="10BF393E"/>
    <w:rsid w:val="112D72E7"/>
    <w:rsid w:val="149633B3"/>
    <w:rsid w:val="14C14790"/>
    <w:rsid w:val="17166BB7"/>
    <w:rsid w:val="19370C22"/>
    <w:rsid w:val="19A2414E"/>
    <w:rsid w:val="1B50464C"/>
    <w:rsid w:val="1B592166"/>
    <w:rsid w:val="1CCE4466"/>
    <w:rsid w:val="1E5D3CF4"/>
    <w:rsid w:val="21AB121A"/>
    <w:rsid w:val="25212EA4"/>
    <w:rsid w:val="2AC409D4"/>
    <w:rsid w:val="2B1167EC"/>
    <w:rsid w:val="2BAB28CF"/>
    <w:rsid w:val="2EBD19FE"/>
    <w:rsid w:val="309B756E"/>
    <w:rsid w:val="30F96FE4"/>
    <w:rsid w:val="319121DA"/>
    <w:rsid w:val="356824AE"/>
    <w:rsid w:val="36FE4E33"/>
    <w:rsid w:val="37415068"/>
    <w:rsid w:val="3989585D"/>
    <w:rsid w:val="3C601B03"/>
    <w:rsid w:val="3F0E37CA"/>
    <w:rsid w:val="3F48163C"/>
    <w:rsid w:val="40C1324F"/>
    <w:rsid w:val="418C7B4C"/>
    <w:rsid w:val="42F71016"/>
    <w:rsid w:val="43F502ED"/>
    <w:rsid w:val="44EF4B92"/>
    <w:rsid w:val="452964E4"/>
    <w:rsid w:val="45A25D72"/>
    <w:rsid w:val="47002253"/>
    <w:rsid w:val="4AAB17C9"/>
    <w:rsid w:val="4B060DE4"/>
    <w:rsid w:val="4BA8289A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9705FB7"/>
    <w:rsid w:val="59F24396"/>
    <w:rsid w:val="5A0C1612"/>
    <w:rsid w:val="5A0D01D8"/>
    <w:rsid w:val="5A46358F"/>
    <w:rsid w:val="5B376630"/>
    <w:rsid w:val="5BAB74D2"/>
    <w:rsid w:val="647C797D"/>
    <w:rsid w:val="69DC2875"/>
    <w:rsid w:val="6B814C60"/>
    <w:rsid w:val="6D5B386F"/>
    <w:rsid w:val="71962296"/>
    <w:rsid w:val="72575502"/>
    <w:rsid w:val="73282E7D"/>
    <w:rsid w:val="73440DCB"/>
    <w:rsid w:val="74F95B2E"/>
    <w:rsid w:val="77035D31"/>
    <w:rsid w:val="78FE5776"/>
    <w:rsid w:val="79452192"/>
    <w:rsid w:val="796678F5"/>
    <w:rsid w:val="796D14E2"/>
    <w:rsid w:val="7AED2C21"/>
    <w:rsid w:val="7B4C7DFC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2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0"/>
      </w:numPr>
      <w:outlineLvl w:val="3"/>
    </w:pPr>
    <w:rPr>
      <w:rFonts w:ascii="Arial" w:hAnsi="Arial" w:eastAsia="微软雅黑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2">
    <w:name w:val="Body Text Indent"/>
    <w:basedOn w:val="1"/>
    <w:next w:val="13"/>
    <w:link w:val="27"/>
    <w:qFormat/>
    <w:uiPriority w:val="0"/>
    <w:pPr>
      <w:ind w:firstLine="795"/>
    </w:pPr>
    <w:rPr>
      <w:sz w:val="32"/>
      <w:szCs w:val="32"/>
    </w:rPr>
  </w:style>
  <w:style w:type="paragraph" w:styleId="1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4">
    <w:name w:val="Date"/>
    <w:basedOn w:val="1"/>
    <w:next w:val="1"/>
    <w:qFormat/>
    <w:uiPriority w:val="0"/>
  </w:style>
  <w:style w:type="paragraph" w:styleId="15">
    <w:name w:val="Balloon Text"/>
    <w:basedOn w:val="1"/>
    <w:link w:val="30"/>
    <w:qFormat/>
    <w:uiPriority w:val="0"/>
    <w:rPr>
      <w:sz w:val="18"/>
      <w:szCs w:val="18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paragraph" w:customStyle="1" w:styleId="21">
    <w:name w:val="正文（缩进）"/>
    <w:basedOn w:val="1"/>
    <w:qFormat/>
    <w:uiPriority w:val="0"/>
    <w:pPr>
      <w:ind w:firstLine="480" w:firstLineChars="200"/>
    </w:p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2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2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1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19"/>
    <w:link w:val="1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3862</Words>
  <Characters>4035</Characters>
  <Lines>24</Lines>
  <Paragraphs>6</Paragraphs>
  <TotalTime>18</TotalTime>
  <ScaleCrop>false</ScaleCrop>
  <LinksUpToDate>false</LinksUpToDate>
  <CharactersWithSpaces>5052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2022-11-17T02:21:00Z</cp:lastPrinted>
  <dcterms:modified xsi:type="dcterms:W3CDTF">2023-06-15T03:21:49Z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6ED90CB4A4484122AECFE82ACB0116AD_13</vt:lpwstr>
  </property>
</Properties>
</file>