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r>
        <w:rPr>
          <w:rFonts w:hint="eastAsia" w:ascii="宋体" w:hAnsi="宋体"/>
          <w:b/>
          <w:sz w:val="36"/>
          <w:szCs w:val="36"/>
          <w:lang w:eastAsia="zh-CN"/>
        </w:rPr>
        <w:t>丹阳市人民医院2号楼液氧管道管线路面恢复工程量清单</w:t>
      </w:r>
      <w:r>
        <w:rPr>
          <w:rFonts w:hint="eastAsia" w:ascii="宋体" w:hAnsi="宋体"/>
          <w:b/>
          <w:sz w:val="36"/>
          <w:szCs w:val="36"/>
        </w:rPr>
        <w:t>编制说明</w:t>
      </w:r>
    </w:p>
    <w:p>
      <w:pPr>
        <w:spacing w:line="560" w:lineRule="exact"/>
        <w:ind w:firstLine="723" w:firstLineChars="200"/>
        <w:jc w:val="center"/>
        <w:rPr>
          <w:rFonts w:ascii="宋体" w:hAnsi="宋体"/>
          <w:b/>
          <w:sz w:val="36"/>
          <w:szCs w:val="36"/>
        </w:rPr>
      </w:pPr>
    </w:p>
    <w:p>
      <w:pPr>
        <w:spacing w:line="560" w:lineRule="exact"/>
        <w:rPr>
          <w:rFonts w:ascii="宋体" w:hAnsi="宋体"/>
          <w:sz w:val="24"/>
        </w:rPr>
      </w:pPr>
      <w:r>
        <w:rPr>
          <w:rFonts w:hint="eastAsia" w:ascii="宋体" w:hAnsi="宋体"/>
          <w:b/>
          <w:bCs/>
          <w:sz w:val="24"/>
        </w:rPr>
        <w:t>一、工程概况：</w:t>
      </w:r>
      <w:r>
        <w:rPr>
          <w:rFonts w:hint="eastAsia" w:asciiTheme="minorEastAsia" w:hAnsiTheme="minorEastAsia" w:eastAsiaTheme="minorEastAsia"/>
          <w:sz w:val="24"/>
        </w:rPr>
        <w:t>本项目位于</w:t>
      </w:r>
      <w:r>
        <w:rPr>
          <w:rFonts w:hint="eastAsia" w:asciiTheme="minorEastAsia" w:hAnsiTheme="minorEastAsia" w:eastAsiaTheme="minorEastAsia"/>
          <w:sz w:val="24"/>
          <w:lang w:eastAsia="zh-CN"/>
        </w:rPr>
        <w:t>丹阳</w:t>
      </w:r>
      <w:r>
        <w:rPr>
          <w:rFonts w:hint="eastAsia" w:asciiTheme="minorEastAsia" w:hAnsiTheme="minorEastAsia" w:eastAsiaTheme="minorEastAsia"/>
          <w:sz w:val="24"/>
        </w:rPr>
        <w:t>，为</w:t>
      </w:r>
      <w:r>
        <w:rPr>
          <w:rFonts w:hint="eastAsia" w:asciiTheme="minorEastAsia" w:hAnsiTheme="minorEastAsia" w:eastAsiaTheme="minorEastAsia"/>
          <w:sz w:val="24"/>
          <w:lang w:eastAsia="zh-CN"/>
        </w:rPr>
        <w:t>丹阳市人民医院2号楼液氧管道管线路面恢复工程项目</w:t>
      </w:r>
      <w:r>
        <w:rPr>
          <w:rFonts w:hint="eastAsia" w:asciiTheme="minorEastAsia" w:hAnsiTheme="minorEastAsia" w:eastAsiaTheme="minorEastAsia"/>
          <w:sz w:val="24"/>
        </w:rPr>
        <w:t>。</w:t>
      </w:r>
    </w:p>
    <w:p>
      <w:pPr>
        <w:spacing w:line="560" w:lineRule="exact"/>
        <w:rPr>
          <w:rFonts w:ascii="宋体" w:hAnsi="宋体"/>
          <w:b/>
          <w:bCs/>
          <w:sz w:val="24"/>
        </w:rPr>
      </w:pPr>
      <w:r>
        <w:rPr>
          <w:rFonts w:hint="eastAsia" w:ascii="宋体" w:hAnsi="宋体"/>
          <w:b/>
          <w:bCs/>
          <w:sz w:val="24"/>
        </w:rPr>
        <w:t>二、编制依据：</w:t>
      </w:r>
    </w:p>
    <w:p>
      <w:pPr>
        <w:spacing w:line="560" w:lineRule="exact"/>
        <w:ind w:firstLine="480" w:firstLineChars="200"/>
        <w:rPr>
          <w:rFonts w:asciiTheme="minorEastAsia" w:hAnsiTheme="minorEastAsia"/>
          <w:sz w:val="24"/>
        </w:rPr>
      </w:pPr>
      <w:r>
        <w:rPr>
          <w:rFonts w:hint="eastAsia" w:asciiTheme="minorEastAsia" w:hAnsiTheme="minorEastAsia"/>
          <w:sz w:val="24"/>
        </w:rPr>
        <w:t>1、委托方提供的</w:t>
      </w:r>
      <w:r>
        <w:rPr>
          <w:rFonts w:hint="eastAsia" w:asciiTheme="minorEastAsia" w:hAnsiTheme="minorEastAsia"/>
          <w:sz w:val="24"/>
          <w:lang w:eastAsia="zh-CN"/>
        </w:rPr>
        <w:t>液氧管道管线路面开挖及恢复工程量及现场实际踏勘量</w:t>
      </w:r>
      <w:r>
        <w:rPr>
          <w:rFonts w:hint="eastAsia" w:asciiTheme="minorEastAsia" w:hAnsiTheme="minorEastAsia"/>
          <w:sz w:val="24"/>
        </w:rPr>
        <w:t>。</w:t>
      </w:r>
    </w:p>
    <w:p>
      <w:pPr>
        <w:spacing w:line="560" w:lineRule="exact"/>
        <w:ind w:firstLine="480" w:firstLineChars="200"/>
        <w:rPr>
          <w:rFonts w:asciiTheme="minorEastAsia" w:hAnsiTheme="minorEastAsia"/>
          <w:sz w:val="24"/>
        </w:rPr>
      </w:pPr>
      <w:r>
        <w:rPr>
          <w:rFonts w:hint="eastAsia" w:asciiTheme="minorEastAsia" w:hAnsiTheme="minorEastAsia"/>
          <w:sz w:val="24"/>
        </w:rPr>
        <w:t>2、本工程采用工程量清单计价方式。执行《建设工程工程量清单计价规范》（GB50500-2013）、2014年《江苏省土建装饰工程计价定额》、2014年《江苏市政工程计价定额》、2014年《江苏</w:t>
      </w:r>
      <w:r>
        <w:rPr>
          <w:rFonts w:hint="eastAsia" w:asciiTheme="minorEastAsia" w:hAnsiTheme="minorEastAsia"/>
          <w:sz w:val="24"/>
          <w:lang w:eastAsia="zh-CN"/>
        </w:rPr>
        <w:t>安装</w:t>
      </w:r>
      <w:r>
        <w:rPr>
          <w:rFonts w:hint="eastAsia" w:asciiTheme="minorEastAsia" w:hAnsiTheme="minorEastAsia"/>
          <w:sz w:val="24"/>
        </w:rPr>
        <w:t>工程计价定额》、2014《江苏省建筑工程费用定额》</w:t>
      </w:r>
      <w:r>
        <w:rPr>
          <w:rFonts w:ascii="宋体" w:hAnsi="宋体"/>
          <w:sz w:val="24"/>
        </w:rPr>
        <w:t>及其</w:t>
      </w:r>
      <w:r>
        <w:rPr>
          <w:rFonts w:hint="eastAsia" w:ascii="宋体" w:hAnsi="宋体"/>
          <w:sz w:val="24"/>
        </w:rPr>
        <w:t>营改增后调整内容</w:t>
      </w:r>
      <w:r>
        <w:rPr>
          <w:rFonts w:hint="eastAsia" w:asciiTheme="minorEastAsia" w:hAnsiTheme="minorEastAsia"/>
          <w:sz w:val="24"/>
        </w:rPr>
        <w:t>。</w:t>
      </w:r>
    </w:p>
    <w:p>
      <w:pPr>
        <w:spacing w:line="560" w:lineRule="exact"/>
        <w:ind w:firstLine="480" w:firstLineChars="200"/>
        <w:rPr>
          <w:rFonts w:asciiTheme="minorEastAsia" w:hAnsiTheme="minorEastAsia"/>
          <w:sz w:val="24"/>
        </w:rPr>
      </w:pPr>
      <w:r>
        <w:rPr>
          <w:rFonts w:hint="eastAsia" w:asciiTheme="minorEastAsia" w:hAnsiTheme="minorEastAsia"/>
          <w:sz w:val="24"/>
        </w:rPr>
        <w:t>3、执行苏建价[2016]154号省住房城乡建设厅关于建筑业实施营改增后江苏省建设工程计价依据调整的通知, 苏建函价〔2019〕178号关于建筑业增值税计价政策调整的通知。</w:t>
      </w:r>
    </w:p>
    <w:p>
      <w:pPr>
        <w:spacing w:line="560" w:lineRule="exact"/>
        <w:ind w:firstLine="480" w:firstLineChars="200"/>
        <w:rPr>
          <w:rFonts w:asciiTheme="minorEastAsia" w:hAnsiTheme="minorEastAsia" w:eastAsiaTheme="minorEastAsia"/>
          <w:sz w:val="24"/>
          <w:highlight w:val="cyan"/>
        </w:rPr>
      </w:pPr>
      <w:r>
        <w:rPr>
          <w:rFonts w:hint="eastAsia" w:asciiTheme="minorEastAsia" w:hAnsiTheme="minorEastAsia"/>
          <w:sz w:val="24"/>
        </w:rPr>
        <w:t>4、执行截止202</w:t>
      </w:r>
      <w:r>
        <w:rPr>
          <w:rFonts w:hint="eastAsia" w:asciiTheme="minorEastAsia" w:hAnsiTheme="minorEastAsia"/>
          <w:sz w:val="24"/>
          <w:lang w:val="en-US" w:eastAsia="zh-CN"/>
        </w:rPr>
        <w:t>2</w:t>
      </w:r>
      <w:r>
        <w:rPr>
          <w:rFonts w:hint="eastAsia" w:asciiTheme="minorEastAsia" w:hAnsiTheme="minorEastAsia"/>
          <w:sz w:val="24"/>
        </w:rPr>
        <w:t>年</w:t>
      </w:r>
      <w:r>
        <w:rPr>
          <w:rFonts w:hint="eastAsia" w:asciiTheme="minorEastAsia" w:hAnsiTheme="minorEastAsia"/>
          <w:sz w:val="24"/>
          <w:lang w:val="en-US" w:eastAsia="zh-CN"/>
        </w:rPr>
        <w:t>6</w:t>
      </w:r>
      <w:r>
        <w:rPr>
          <w:rFonts w:hint="eastAsia" w:asciiTheme="minorEastAsia" w:hAnsiTheme="minorEastAsia"/>
          <w:sz w:val="24"/>
        </w:rPr>
        <w:t>月底省、市有关工程造价计价文件。人工工资苏建函价〔202</w:t>
      </w:r>
      <w:r>
        <w:rPr>
          <w:rFonts w:hint="eastAsia" w:asciiTheme="minorEastAsia" w:hAnsiTheme="minorEastAsia"/>
          <w:sz w:val="24"/>
          <w:lang w:val="en-US" w:eastAsia="zh-CN"/>
        </w:rPr>
        <w:t>2</w:t>
      </w:r>
      <w:r>
        <w:rPr>
          <w:rFonts w:hint="eastAsia" w:asciiTheme="minorEastAsia" w:hAnsiTheme="minorEastAsia"/>
          <w:sz w:val="24"/>
        </w:rPr>
        <w:t>〕</w:t>
      </w:r>
      <w:r>
        <w:rPr>
          <w:rFonts w:hint="eastAsia" w:asciiTheme="minorEastAsia" w:hAnsiTheme="minorEastAsia" w:eastAsiaTheme="minorEastAsia"/>
          <w:sz w:val="24"/>
        </w:rPr>
        <w:t>62号文计取。</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5、其他相关文件。</w:t>
      </w:r>
    </w:p>
    <w:p>
      <w:pPr>
        <w:spacing w:line="560" w:lineRule="exact"/>
        <w:rPr>
          <w:rFonts w:ascii="宋体" w:hAnsi="宋体"/>
          <w:b/>
          <w:bCs/>
          <w:sz w:val="24"/>
        </w:rPr>
      </w:pPr>
      <w:r>
        <w:rPr>
          <w:rFonts w:hint="eastAsia" w:ascii="宋体" w:hAnsi="宋体"/>
          <w:b/>
          <w:bCs/>
          <w:sz w:val="24"/>
        </w:rPr>
        <w:t>三、工程质量要求：</w:t>
      </w:r>
      <w:r>
        <w:rPr>
          <w:rFonts w:hint="eastAsia" w:asciiTheme="minorEastAsia" w:hAnsiTheme="minorEastAsia" w:eastAsiaTheme="minorEastAsia"/>
          <w:sz w:val="24"/>
        </w:rPr>
        <w:t>详见招标文件</w:t>
      </w:r>
    </w:p>
    <w:p>
      <w:pPr>
        <w:widowControl/>
        <w:spacing w:line="560" w:lineRule="exact"/>
        <w:rPr>
          <w:rFonts w:ascii="宋体" w:hAnsi="宋体"/>
          <w:b/>
          <w:bCs/>
          <w:sz w:val="24"/>
        </w:rPr>
      </w:pPr>
      <w:r>
        <w:rPr>
          <w:rFonts w:hint="eastAsia" w:ascii="宋体" w:hAnsi="宋体"/>
          <w:b/>
          <w:bCs/>
          <w:sz w:val="24"/>
        </w:rPr>
        <w:t>四、工程类别及取费标准：</w:t>
      </w:r>
    </w:p>
    <w:p>
      <w:pPr>
        <w:widowControl/>
        <w:spacing w:line="560" w:lineRule="exact"/>
        <w:ind w:firstLine="480" w:firstLineChars="200"/>
        <w:rPr>
          <w:rFonts w:asciiTheme="minorEastAsia" w:hAnsiTheme="minorEastAsia" w:eastAsiaTheme="minorEastAsia"/>
          <w:sz w:val="24"/>
        </w:rPr>
      </w:pPr>
      <w:r>
        <w:rPr>
          <w:rFonts w:hint="eastAsia" w:asciiTheme="minorEastAsia" w:hAnsiTheme="minorEastAsia"/>
          <w:sz w:val="24"/>
        </w:rPr>
        <w:t>1、按</w:t>
      </w:r>
      <w:r>
        <w:rPr>
          <w:rFonts w:hint="eastAsia" w:asciiTheme="minorEastAsia" w:hAnsiTheme="minorEastAsia"/>
          <w:sz w:val="24"/>
          <w:lang w:eastAsia="zh-CN"/>
        </w:rPr>
        <w:t>土建</w:t>
      </w:r>
      <w:r>
        <w:rPr>
          <w:rFonts w:hint="eastAsia" w:asciiTheme="minorEastAsia" w:hAnsiTheme="minorEastAsia"/>
          <w:sz w:val="24"/>
        </w:rPr>
        <w:t>工程三类取费、除现场安全文明施工措施费、各项规费、综合税金按镇江市规定费率计取外，其余由各投标</w:t>
      </w:r>
      <w:r>
        <w:rPr>
          <w:rFonts w:hint="eastAsia" w:asciiTheme="minorEastAsia" w:hAnsiTheme="minorEastAsia" w:eastAsiaTheme="minorEastAsia"/>
          <w:sz w:val="24"/>
        </w:rPr>
        <w:t>单位自主报价。</w:t>
      </w:r>
    </w:p>
    <w:p>
      <w:pPr>
        <w:widowControl/>
        <w:tabs>
          <w:tab w:val="left" w:pos="540"/>
          <w:tab w:val="left" w:pos="2700"/>
          <w:tab w:val="left" w:pos="5040"/>
        </w:tabs>
        <w:spacing w:line="56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各项费率（%）如下：</w:t>
      </w:r>
    </w:p>
    <w:tbl>
      <w:tblPr>
        <w:tblStyle w:val="12"/>
        <w:tblW w:w="5000" w:type="pct"/>
        <w:tblInd w:w="0" w:type="dxa"/>
        <w:tblLayout w:type="autofit"/>
        <w:tblCellMar>
          <w:top w:w="0" w:type="dxa"/>
          <w:left w:w="108" w:type="dxa"/>
          <w:bottom w:w="0" w:type="dxa"/>
          <w:right w:w="108" w:type="dxa"/>
        </w:tblCellMar>
      </w:tblPr>
      <w:tblGrid>
        <w:gridCol w:w="1195"/>
        <w:gridCol w:w="1195"/>
        <w:gridCol w:w="1197"/>
        <w:gridCol w:w="1195"/>
        <w:gridCol w:w="1196"/>
        <w:gridCol w:w="1196"/>
        <w:gridCol w:w="1198"/>
        <w:gridCol w:w="1198"/>
      </w:tblGrid>
      <w:tr>
        <w:tblPrEx>
          <w:tblCellMar>
            <w:top w:w="0" w:type="dxa"/>
            <w:left w:w="108" w:type="dxa"/>
            <w:bottom w:w="0" w:type="dxa"/>
            <w:right w:w="108" w:type="dxa"/>
          </w:tblCellMar>
        </w:tblPrEx>
        <w:trPr>
          <w:trHeight w:val="288" w:hRule="atLeast"/>
        </w:trPr>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工程项目</w:t>
            </w:r>
          </w:p>
        </w:tc>
        <w:tc>
          <w:tcPr>
            <w:tcW w:w="124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安全文明施工费</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工程按质论价费（省优工程）％</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社会保险费％</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住房公积金％</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扬尘污染防治增加费％</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Theme="minorEastAsia" w:hAnsiTheme="minorEastAsia" w:eastAsiaTheme="minorEastAsia"/>
                <w:sz w:val="24"/>
              </w:rPr>
              <w:t>税金</w:t>
            </w:r>
            <w:r>
              <w:rPr>
                <w:rFonts w:hint="eastAsia" w:ascii="宋体" w:hAnsi="宋体" w:cs="宋体"/>
                <w:kern w:val="0"/>
                <w:sz w:val="24"/>
              </w:rPr>
              <w:t>％</w:t>
            </w:r>
          </w:p>
        </w:tc>
      </w:tr>
      <w:tr>
        <w:tblPrEx>
          <w:tblCellMar>
            <w:top w:w="0" w:type="dxa"/>
            <w:left w:w="108" w:type="dxa"/>
            <w:bottom w:w="0" w:type="dxa"/>
            <w:right w:w="108" w:type="dxa"/>
          </w:tblCellMar>
        </w:tblPrEx>
        <w:trPr>
          <w:trHeight w:val="86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基本费％</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市级标化增加费（一星级）％</w:t>
            </w:r>
          </w:p>
        </w:tc>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8" w:hRule="atLeast"/>
        </w:trPr>
        <w:tc>
          <w:tcPr>
            <w:tcW w:w="624" w:type="pct"/>
            <w:tcBorders>
              <w:top w:val="nil"/>
              <w:left w:val="single" w:color="auto" w:sz="4" w:space="0"/>
              <w:bottom w:val="nil"/>
              <w:right w:val="single" w:color="auto" w:sz="4" w:space="0"/>
            </w:tcBorders>
            <w:shd w:val="clear" w:color="auto" w:fill="auto"/>
            <w:vAlign w:val="center"/>
          </w:tcPr>
          <w:p>
            <w:pPr>
              <w:widowControl/>
              <w:jc w:val="center"/>
              <w:rPr>
                <w:rFonts w:ascii="宋体" w:hAnsi="宋体"/>
                <w:bCs/>
                <w:sz w:val="24"/>
              </w:rPr>
            </w:pPr>
            <w:r>
              <w:rPr>
                <w:rFonts w:hint="eastAsia" w:asciiTheme="minorEastAsia" w:hAnsiTheme="minorEastAsia"/>
                <w:sz w:val="24"/>
                <w:lang w:eastAsia="zh-CN"/>
              </w:rPr>
              <w:t>土建</w:t>
            </w:r>
            <w:r>
              <w:rPr>
                <w:rFonts w:hint="eastAsia" w:asciiTheme="minorEastAsia" w:hAnsiTheme="minorEastAsia"/>
                <w:sz w:val="24"/>
              </w:rPr>
              <w:t>工程</w:t>
            </w:r>
          </w:p>
        </w:tc>
        <w:tc>
          <w:tcPr>
            <w:tcW w:w="624" w:type="pct"/>
            <w:tcBorders>
              <w:top w:val="nil"/>
              <w:left w:val="nil"/>
              <w:bottom w:val="nil"/>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w:t>
            </w:r>
          </w:p>
        </w:tc>
        <w:tc>
          <w:tcPr>
            <w:tcW w:w="625"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624" w:type="pct"/>
            <w:tcBorders>
              <w:top w:val="nil"/>
              <w:left w:val="nil"/>
              <w:bottom w:val="nil"/>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w:t>
            </w:r>
          </w:p>
        </w:tc>
        <w:tc>
          <w:tcPr>
            <w:tcW w:w="624" w:type="pct"/>
            <w:tcBorders>
              <w:top w:val="nil"/>
              <w:left w:val="nil"/>
              <w:bottom w:val="nil"/>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3.2</w:t>
            </w:r>
          </w:p>
        </w:tc>
        <w:tc>
          <w:tcPr>
            <w:tcW w:w="624" w:type="pct"/>
            <w:tcBorders>
              <w:top w:val="nil"/>
              <w:left w:val="nil"/>
              <w:bottom w:val="nil"/>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0.53</w:t>
            </w:r>
          </w:p>
        </w:tc>
        <w:tc>
          <w:tcPr>
            <w:tcW w:w="625" w:type="pct"/>
            <w:tcBorders>
              <w:top w:val="nil"/>
              <w:left w:val="nil"/>
              <w:bottom w:val="nil"/>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0.31</w:t>
            </w:r>
          </w:p>
        </w:tc>
        <w:tc>
          <w:tcPr>
            <w:tcW w:w="625"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r>
    </w:tbl>
    <w:p>
      <w:pPr>
        <w:numPr>
          <w:ilvl w:val="0"/>
          <w:numId w:val="1"/>
        </w:numPr>
        <w:spacing w:line="560" w:lineRule="exact"/>
        <w:ind w:firstLine="480" w:firstLineChars="200"/>
        <w:rPr>
          <w:rFonts w:ascii="宋体" w:hAnsi="宋体"/>
          <w:sz w:val="24"/>
        </w:rPr>
      </w:pPr>
      <w:r>
        <w:rPr>
          <w:rFonts w:hint="eastAsia" w:asciiTheme="minorEastAsia" w:hAnsiTheme="minorEastAsia" w:eastAsiaTheme="minorEastAsia"/>
          <w:sz w:val="24"/>
        </w:rPr>
        <w:t>投标人须踏勘现场，并结合工程实际情况、工期、设计要求以及投标单位的施工组织设计、施工方案等综合考虑一切可见和不可见因素，除措施项目清单中所立项目外，</w:t>
      </w:r>
      <w:r>
        <w:rPr>
          <w:rFonts w:hint="eastAsia" w:ascii="宋体" w:hAnsi="宋体"/>
          <w:sz w:val="24"/>
        </w:rPr>
        <w:t>可自行调整、补充并自主报价，结算时</w:t>
      </w:r>
      <w:r>
        <w:rPr>
          <w:rFonts w:hint="eastAsia" w:asciiTheme="minorEastAsia" w:hAnsiTheme="minorEastAsia" w:eastAsiaTheme="minorEastAsia"/>
          <w:sz w:val="24"/>
        </w:rPr>
        <w:t>措施费</w:t>
      </w:r>
      <w:r>
        <w:rPr>
          <w:rFonts w:hint="eastAsia" w:ascii="宋体" w:hAnsi="宋体"/>
          <w:sz w:val="24"/>
        </w:rPr>
        <w:t>不调整。</w:t>
      </w:r>
    </w:p>
    <w:p>
      <w:pPr>
        <w:numPr>
          <w:ilvl w:val="0"/>
          <w:numId w:val="1"/>
        </w:numPr>
        <w:spacing w:line="560" w:lineRule="exact"/>
        <w:ind w:firstLine="480" w:firstLineChars="200"/>
        <w:rPr>
          <w:rFonts w:ascii="宋体" w:hAnsi="宋体"/>
          <w:sz w:val="24"/>
        </w:rPr>
      </w:pPr>
      <w:r>
        <w:rPr>
          <w:rFonts w:hint="eastAsia" w:ascii="宋体" w:hAnsi="宋体" w:cs="宋体"/>
          <w:sz w:val="24"/>
          <w:lang w:val="zh-CN"/>
        </w:rPr>
        <w:t>大型机械进退场、便道费、接水接电费等措施费招标控制价中已经综合考虑，投标单位根据企业自身情况结合现场实际情况自行报价。</w:t>
      </w:r>
    </w:p>
    <w:p>
      <w:pPr>
        <w:numPr>
          <w:ilvl w:val="0"/>
          <w:numId w:val="1"/>
        </w:numPr>
        <w:spacing w:line="560" w:lineRule="exact"/>
        <w:ind w:firstLine="480" w:firstLineChars="200"/>
        <w:rPr>
          <w:rFonts w:ascii="宋体" w:hAnsi="宋体"/>
          <w:sz w:val="24"/>
        </w:rPr>
      </w:pPr>
      <w:r>
        <w:rPr>
          <w:rFonts w:hint="eastAsia" w:ascii="宋体" w:hAnsi="宋体" w:cs="宋体"/>
          <w:sz w:val="24"/>
          <w:lang w:val="zh-CN"/>
        </w:rPr>
        <w:t>投标人需探勘现场，综合考虑到管线安装工程交差配合施工方案。</w:t>
      </w:r>
    </w:p>
    <w:p>
      <w:pPr>
        <w:spacing w:line="560" w:lineRule="exact"/>
        <w:rPr>
          <w:rFonts w:asciiTheme="minorEastAsia" w:hAnsiTheme="minorEastAsia" w:eastAsiaTheme="minorEastAsia"/>
          <w:b/>
          <w:bCs/>
          <w:sz w:val="24"/>
        </w:rPr>
      </w:pPr>
      <w:r>
        <w:rPr>
          <w:rFonts w:hint="eastAsia" w:asciiTheme="minorEastAsia" w:hAnsiTheme="minorEastAsia" w:eastAsiaTheme="minorEastAsia"/>
          <w:b/>
          <w:bCs/>
          <w:sz w:val="24"/>
        </w:rPr>
        <w:t>五、</w:t>
      </w:r>
      <w:r>
        <w:rPr>
          <w:rFonts w:hint="eastAsia" w:ascii="宋体" w:hAnsi="宋体"/>
          <w:b/>
          <w:sz w:val="24"/>
        </w:rPr>
        <w:t>材料价格取定</w:t>
      </w:r>
      <w:r>
        <w:rPr>
          <w:rFonts w:hint="eastAsia" w:asciiTheme="minorEastAsia" w:hAnsiTheme="minorEastAsia" w:eastAsiaTheme="minorEastAsia"/>
          <w:b/>
          <w:bCs/>
          <w:sz w:val="24"/>
        </w:rPr>
        <w:t>：</w:t>
      </w:r>
    </w:p>
    <w:p>
      <w:pPr>
        <w:spacing w:line="560" w:lineRule="exact"/>
        <w:ind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1、本工程材料价格按202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年第</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期《镇江市造价信息》</w:t>
      </w:r>
      <w:r>
        <w:rPr>
          <w:rFonts w:hint="eastAsia" w:asciiTheme="minorEastAsia" w:hAnsiTheme="minorEastAsia"/>
          <w:sz w:val="24"/>
        </w:rPr>
        <w:t>并结合市场价与市场波动等因素综合考虑</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bCs/>
          <w:sz w:val="24"/>
          <w:lang w:eastAsia="zh-CN"/>
        </w:rPr>
        <w:t>六</w:t>
      </w:r>
      <w:r>
        <w:rPr>
          <w:rFonts w:hint="eastAsia" w:asciiTheme="minorEastAsia" w:hAnsiTheme="minorEastAsia" w:eastAsiaTheme="minorEastAsia"/>
          <w:b/>
          <w:bCs/>
          <w:sz w:val="24"/>
        </w:rPr>
        <w:t>、其它说明</w:t>
      </w:r>
    </w:p>
    <w:p>
      <w:pPr>
        <w:widowControl/>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1、工程量清单中项目特征、工作内容描述的完整程度，准确性，不影响中标人按相应规范要求施工；投标报价时应结合设计图纸</w:t>
      </w:r>
      <w:r>
        <w:rPr>
          <w:rFonts w:hint="eastAsia" w:asciiTheme="minorEastAsia" w:hAnsiTheme="minorEastAsia"/>
          <w:sz w:val="24"/>
        </w:rPr>
        <w:t>、</w:t>
      </w:r>
      <w:r>
        <w:rPr>
          <w:rFonts w:hint="eastAsia" w:asciiTheme="minorEastAsia" w:hAnsiTheme="minorEastAsia" w:eastAsiaTheme="minorEastAsia"/>
          <w:sz w:val="24"/>
        </w:rPr>
        <w:t>投标单位施工方案等综合考虑施工的全部工作内容。</w:t>
      </w:r>
    </w:p>
    <w:p>
      <w:pPr>
        <w:spacing w:line="440" w:lineRule="exact"/>
        <w:ind w:firstLine="480" w:firstLineChars="200"/>
        <w:rPr>
          <w:rFonts w:hint="eastAsia" w:ascii="宋体" w:hAnsi="宋体" w:eastAsia="宋体"/>
          <w:sz w:val="24"/>
          <w:lang w:eastAsia="zh-CN"/>
        </w:rPr>
      </w:pPr>
      <w:r>
        <w:rPr>
          <w:rFonts w:hint="eastAsia" w:ascii="宋体" w:hAnsi="宋体"/>
          <w:sz w:val="24"/>
        </w:rPr>
        <w:t>2、投标单位须根据设计图纸，做好市场调查，进行</w:t>
      </w:r>
      <w:bookmarkStart w:id="0" w:name="_GoBack"/>
      <w:bookmarkEnd w:id="0"/>
      <w:r>
        <w:rPr>
          <w:rFonts w:hint="eastAsia" w:ascii="宋体" w:hAnsi="宋体"/>
          <w:sz w:val="24"/>
        </w:rPr>
        <w:t>投标报价</w:t>
      </w:r>
      <w:r>
        <w:rPr>
          <w:rFonts w:hint="eastAsia" w:ascii="宋体" w:hAnsi="宋体"/>
          <w:sz w:val="24"/>
          <w:lang w:eastAsia="zh-CN"/>
        </w:rPr>
        <w:t>。</w:t>
      </w:r>
    </w:p>
    <w:p>
      <w:pPr>
        <w:spacing w:line="520" w:lineRule="exact"/>
        <w:ind w:firstLine="480" w:firstLineChars="200"/>
        <w:rPr>
          <w:rFonts w:hint="eastAsia" w:ascii="宋体" w:hAnsi="宋体"/>
          <w:sz w:val="24"/>
          <w:lang w:eastAsia="zh-CN"/>
        </w:rPr>
      </w:pPr>
      <w:r>
        <w:rPr>
          <w:rFonts w:hint="eastAsia" w:ascii="宋体" w:hAnsi="宋体"/>
          <w:sz w:val="24"/>
        </w:rPr>
        <w:t>4、招标人不提供弃土、取土、预制、堆放场地等位置，由投标人踏勘现场后自行考虑，但</w:t>
      </w:r>
      <w:r>
        <w:rPr>
          <w:rFonts w:hint="eastAsia" w:ascii="宋体" w:hAnsi="宋体"/>
          <w:sz w:val="24"/>
          <w:lang w:eastAsia="zh-CN"/>
        </w:rPr>
        <w:t>院</w:t>
      </w:r>
      <w:r>
        <w:rPr>
          <w:rFonts w:hint="eastAsia" w:ascii="宋体" w:hAnsi="宋体"/>
          <w:sz w:val="24"/>
        </w:rPr>
        <w:t>内施工因素须考虑。</w:t>
      </w:r>
    </w:p>
    <w:p>
      <w:pPr>
        <w:spacing w:line="52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路面场地恢复按</w:t>
      </w:r>
      <w:r>
        <w:rPr>
          <w:rFonts w:hint="eastAsia" w:ascii="宋体" w:hAnsi="宋体"/>
          <w:sz w:val="24"/>
          <w:lang w:val="en-US" w:eastAsia="zh-CN"/>
        </w:rPr>
        <w:t>5cm厚碎石垫层+15cm厚C30混凝土面层考虑，混凝土要求为商混。</w:t>
      </w:r>
    </w:p>
    <w:p>
      <w:pPr>
        <w:spacing w:line="520" w:lineRule="exact"/>
        <w:ind w:firstLine="480" w:firstLineChars="200"/>
        <w:rPr>
          <w:rFonts w:hint="eastAsia" w:ascii="宋体" w:hAnsi="宋体" w:eastAsia="宋体"/>
          <w:sz w:val="24"/>
          <w:lang w:val="en-US" w:eastAsia="zh-CN"/>
        </w:rPr>
      </w:pPr>
      <w:r>
        <w:rPr>
          <w:rFonts w:hint="eastAsia" w:ascii="宋体" w:hAnsi="宋体"/>
          <w:sz w:val="24"/>
          <w:lang w:val="en-US" w:eastAsia="zh-CN"/>
        </w:rPr>
        <w:t>6、开挖及回填按图纸设计执行，综合考虑地下埋地管线保护性开挖，开挖断面支撑及临边防护设施综合在清单报价中，结算不另行调整。</w:t>
      </w:r>
    </w:p>
    <w:p>
      <w:pPr>
        <w:widowControl/>
        <w:spacing w:line="56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、对于有关造价方面文件和相关规定，请各投标单位向造价管理部门咨询。</w:t>
      </w:r>
    </w:p>
    <w:p>
      <w:pPr>
        <w:widowControl/>
        <w:spacing w:line="560" w:lineRule="exact"/>
        <w:ind w:firstLine="482" w:firstLineChars="200"/>
        <w:rPr>
          <w:rFonts w:hint="eastAsia" w:ascii="宋体" w:hAnsi="宋体"/>
          <w:b/>
          <w:bCs/>
          <w:sz w:val="24"/>
          <w:lang w:val="en-US" w:eastAsia="zh-CN"/>
        </w:rPr>
      </w:pPr>
      <w:r>
        <w:rPr>
          <w:rFonts w:hint="eastAsia" w:ascii="宋体" w:hAnsi="宋体"/>
          <w:b/>
          <w:bCs/>
          <w:sz w:val="24"/>
          <w:lang w:val="en-US" w:eastAsia="zh-CN"/>
        </w:rPr>
        <w:t>七、暂列金额</w:t>
      </w:r>
    </w:p>
    <w:p>
      <w:pPr>
        <w:widowControl/>
        <w:tabs>
          <w:tab w:val="left" w:pos="1768"/>
        </w:tabs>
        <w:spacing w:line="560" w:lineRule="exact"/>
        <w:ind w:firstLine="480" w:firstLineChars="200"/>
        <w:jc w:val="both"/>
        <w:rPr>
          <w:rFonts w:hint="default" w:ascii="宋体" w:hAnsi="宋体"/>
          <w:b w:val="0"/>
          <w:bCs w:val="0"/>
          <w:sz w:val="24"/>
          <w:lang w:val="en-US" w:eastAsia="zh-CN"/>
        </w:rPr>
      </w:pPr>
      <w:r>
        <w:rPr>
          <w:rFonts w:hint="eastAsia" w:ascii="宋体" w:hAnsi="宋体"/>
          <w:b w:val="0"/>
          <w:bCs w:val="0"/>
          <w:sz w:val="24"/>
          <w:lang w:val="en-US" w:eastAsia="zh-CN"/>
        </w:rPr>
        <w:t>1、暂列金额：8000元</w:t>
      </w:r>
    </w:p>
    <w:p>
      <w:pPr>
        <w:tabs>
          <w:tab w:val="left" w:pos="4170"/>
        </w:tabs>
        <w:spacing w:line="560" w:lineRule="exact"/>
        <w:ind w:firstLine="5400" w:firstLineChars="2250"/>
        <w:rPr>
          <w:rFonts w:ascii="宋体" w:hAnsi="宋体"/>
          <w:sz w:val="24"/>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88D7B"/>
    <w:multiLevelType w:val="singleLevel"/>
    <w:tmpl w:val="2F088D7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NmJjNTA0YmMxYzIyNDE4ODA2YTk0MTc2YmQzYzIifQ=="/>
  </w:docVars>
  <w:rsids>
    <w:rsidRoot w:val="00AF1466"/>
    <w:rsid w:val="00001521"/>
    <w:rsid w:val="000030B2"/>
    <w:rsid w:val="00012E51"/>
    <w:rsid w:val="00014DF4"/>
    <w:rsid w:val="00016209"/>
    <w:rsid w:val="000165E7"/>
    <w:rsid w:val="000347E6"/>
    <w:rsid w:val="00037310"/>
    <w:rsid w:val="00046795"/>
    <w:rsid w:val="00057A4A"/>
    <w:rsid w:val="00062B8A"/>
    <w:rsid w:val="00065DE8"/>
    <w:rsid w:val="00066A4B"/>
    <w:rsid w:val="000671FC"/>
    <w:rsid w:val="0007012D"/>
    <w:rsid w:val="000768DA"/>
    <w:rsid w:val="00076D2F"/>
    <w:rsid w:val="00080B68"/>
    <w:rsid w:val="00083E8A"/>
    <w:rsid w:val="000A0C6C"/>
    <w:rsid w:val="000A1BD2"/>
    <w:rsid w:val="000B062E"/>
    <w:rsid w:val="000B1A7D"/>
    <w:rsid w:val="000B4470"/>
    <w:rsid w:val="000D1248"/>
    <w:rsid w:val="000D1337"/>
    <w:rsid w:val="000D2929"/>
    <w:rsid w:val="000F0237"/>
    <w:rsid w:val="000F1BAA"/>
    <w:rsid w:val="001044A7"/>
    <w:rsid w:val="00110C26"/>
    <w:rsid w:val="00111CFA"/>
    <w:rsid w:val="00112B4D"/>
    <w:rsid w:val="00117042"/>
    <w:rsid w:val="001356B3"/>
    <w:rsid w:val="00137910"/>
    <w:rsid w:val="0014179B"/>
    <w:rsid w:val="00146773"/>
    <w:rsid w:val="001472A5"/>
    <w:rsid w:val="001479D4"/>
    <w:rsid w:val="00151B84"/>
    <w:rsid w:val="0015272F"/>
    <w:rsid w:val="00165D42"/>
    <w:rsid w:val="001662BC"/>
    <w:rsid w:val="00172F43"/>
    <w:rsid w:val="001741EA"/>
    <w:rsid w:val="0017445A"/>
    <w:rsid w:val="00175445"/>
    <w:rsid w:val="00177026"/>
    <w:rsid w:val="00185576"/>
    <w:rsid w:val="001869FF"/>
    <w:rsid w:val="001876A1"/>
    <w:rsid w:val="00192075"/>
    <w:rsid w:val="00192EE7"/>
    <w:rsid w:val="00197EE1"/>
    <w:rsid w:val="001A376D"/>
    <w:rsid w:val="001A506B"/>
    <w:rsid w:val="001B1433"/>
    <w:rsid w:val="001B338B"/>
    <w:rsid w:val="001B4EFE"/>
    <w:rsid w:val="001B6AF8"/>
    <w:rsid w:val="001B7195"/>
    <w:rsid w:val="001C3A13"/>
    <w:rsid w:val="001D237B"/>
    <w:rsid w:val="001D4409"/>
    <w:rsid w:val="001D555F"/>
    <w:rsid w:val="001D6C8C"/>
    <w:rsid w:val="001E27ED"/>
    <w:rsid w:val="001E2B5B"/>
    <w:rsid w:val="001E3F5D"/>
    <w:rsid w:val="001F580A"/>
    <w:rsid w:val="001F6BBA"/>
    <w:rsid w:val="001F7373"/>
    <w:rsid w:val="00204B4A"/>
    <w:rsid w:val="00205985"/>
    <w:rsid w:val="00210B60"/>
    <w:rsid w:val="00210BAA"/>
    <w:rsid w:val="00211A87"/>
    <w:rsid w:val="0023200E"/>
    <w:rsid w:val="00233144"/>
    <w:rsid w:val="002347BD"/>
    <w:rsid w:val="0024011A"/>
    <w:rsid w:val="00241B96"/>
    <w:rsid w:val="00243D9B"/>
    <w:rsid w:val="00244587"/>
    <w:rsid w:val="002453BB"/>
    <w:rsid w:val="00247248"/>
    <w:rsid w:val="00250A55"/>
    <w:rsid w:val="002617F6"/>
    <w:rsid w:val="00261CED"/>
    <w:rsid w:val="00264261"/>
    <w:rsid w:val="0026708B"/>
    <w:rsid w:val="00286C2E"/>
    <w:rsid w:val="00293F1A"/>
    <w:rsid w:val="00294C9C"/>
    <w:rsid w:val="00295850"/>
    <w:rsid w:val="002A0EE1"/>
    <w:rsid w:val="002A296D"/>
    <w:rsid w:val="002A59EE"/>
    <w:rsid w:val="002B034D"/>
    <w:rsid w:val="002B1C87"/>
    <w:rsid w:val="002B68C3"/>
    <w:rsid w:val="002C5139"/>
    <w:rsid w:val="002C6B1D"/>
    <w:rsid w:val="002C6D0C"/>
    <w:rsid w:val="002D4324"/>
    <w:rsid w:val="002D4AB8"/>
    <w:rsid w:val="002D6C92"/>
    <w:rsid w:val="002E2157"/>
    <w:rsid w:val="002F24DD"/>
    <w:rsid w:val="003056B8"/>
    <w:rsid w:val="00307DC9"/>
    <w:rsid w:val="00310ED9"/>
    <w:rsid w:val="00321990"/>
    <w:rsid w:val="003219F7"/>
    <w:rsid w:val="00327BA9"/>
    <w:rsid w:val="00331533"/>
    <w:rsid w:val="0033178D"/>
    <w:rsid w:val="00332573"/>
    <w:rsid w:val="003334B2"/>
    <w:rsid w:val="00341B80"/>
    <w:rsid w:val="00347E4C"/>
    <w:rsid w:val="0035227F"/>
    <w:rsid w:val="00363272"/>
    <w:rsid w:val="00370E6D"/>
    <w:rsid w:val="003737FA"/>
    <w:rsid w:val="003800D4"/>
    <w:rsid w:val="0038298E"/>
    <w:rsid w:val="00386ABB"/>
    <w:rsid w:val="00396B35"/>
    <w:rsid w:val="003A316F"/>
    <w:rsid w:val="003A38D3"/>
    <w:rsid w:val="003A661B"/>
    <w:rsid w:val="003B0B56"/>
    <w:rsid w:val="003B66BE"/>
    <w:rsid w:val="003C685B"/>
    <w:rsid w:val="003D2B4F"/>
    <w:rsid w:val="003D7165"/>
    <w:rsid w:val="003E6456"/>
    <w:rsid w:val="003F1399"/>
    <w:rsid w:val="003F63B9"/>
    <w:rsid w:val="003F7E27"/>
    <w:rsid w:val="004005CA"/>
    <w:rsid w:val="004051B1"/>
    <w:rsid w:val="004078C6"/>
    <w:rsid w:val="00424A44"/>
    <w:rsid w:val="004323A5"/>
    <w:rsid w:val="004323A9"/>
    <w:rsid w:val="00436D2B"/>
    <w:rsid w:val="004443D4"/>
    <w:rsid w:val="00455094"/>
    <w:rsid w:val="004562DE"/>
    <w:rsid w:val="00457A6B"/>
    <w:rsid w:val="004642A4"/>
    <w:rsid w:val="004651A9"/>
    <w:rsid w:val="00465EA5"/>
    <w:rsid w:val="00467D5A"/>
    <w:rsid w:val="004838F8"/>
    <w:rsid w:val="004A1107"/>
    <w:rsid w:val="004A410B"/>
    <w:rsid w:val="004A59D6"/>
    <w:rsid w:val="004B2BBB"/>
    <w:rsid w:val="004B6FEF"/>
    <w:rsid w:val="004C609E"/>
    <w:rsid w:val="004D7017"/>
    <w:rsid w:val="004E7E15"/>
    <w:rsid w:val="004F0172"/>
    <w:rsid w:val="004F2666"/>
    <w:rsid w:val="004F3077"/>
    <w:rsid w:val="004F55CB"/>
    <w:rsid w:val="00503937"/>
    <w:rsid w:val="005069D6"/>
    <w:rsid w:val="00507187"/>
    <w:rsid w:val="00510754"/>
    <w:rsid w:val="0051603F"/>
    <w:rsid w:val="00534E4A"/>
    <w:rsid w:val="005416E8"/>
    <w:rsid w:val="005424B0"/>
    <w:rsid w:val="005434D9"/>
    <w:rsid w:val="005448B7"/>
    <w:rsid w:val="00554370"/>
    <w:rsid w:val="005575EB"/>
    <w:rsid w:val="005639A9"/>
    <w:rsid w:val="00566929"/>
    <w:rsid w:val="00573BED"/>
    <w:rsid w:val="0057493E"/>
    <w:rsid w:val="00574F7F"/>
    <w:rsid w:val="0057670D"/>
    <w:rsid w:val="005770A3"/>
    <w:rsid w:val="005775B6"/>
    <w:rsid w:val="005805E0"/>
    <w:rsid w:val="0058691D"/>
    <w:rsid w:val="0058717A"/>
    <w:rsid w:val="005A0696"/>
    <w:rsid w:val="005A09B0"/>
    <w:rsid w:val="005A294E"/>
    <w:rsid w:val="005A4255"/>
    <w:rsid w:val="005A54A1"/>
    <w:rsid w:val="005A75E6"/>
    <w:rsid w:val="005B22B2"/>
    <w:rsid w:val="005B5EA4"/>
    <w:rsid w:val="005C13D2"/>
    <w:rsid w:val="005C2197"/>
    <w:rsid w:val="005C4DD2"/>
    <w:rsid w:val="005C5C05"/>
    <w:rsid w:val="005C7427"/>
    <w:rsid w:val="005C7555"/>
    <w:rsid w:val="005D15C4"/>
    <w:rsid w:val="005D487A"/>
    <w:rsid w:val="005E1F1D"/>
    <w:rsid w:val="005E2DDB"/>
    <w:rsid w:val="005E3A3C"/>
    <w:rsid w:val="005F0535"/>
    <w:rsid w:val="00606CE5"/>
    <w:rsid w:val="00610B9C"/>
    <w:rsid w:val="00612BA5"/>
    <w:rsid w:val="00631244"/>
    <w:rsid w:val="00632A2E"/>
    <w:rsid w:val="00637D16"/>
    <w:rsid w:val="00644A83"/>
    <w:rsid w:val="00647AA2"/>
    <w:rsid w:val="00653422"/>
    <w:rsid w:val="006713BE"/>
    <w:rsid w:val="00671672"/>
    <w:rsid w:val="00672E46"/>
    <w:rsid w:val="00673B9F"/>
    <w:rsid w:val="00675CAF"/>
    <w:rsid w:val="006857D4"/>
    <w:rsid w:val="006902AD"/>
    <w:rsid w:val="0069476A"/>
    <w:rsid w:val="00694B2B"/>
    <w:rsid w:val="00697459"/>
    <w:rsid w:val="006A2907"/>
    <w:rsid w:val="006A6D3B"/>
    <w:rsid w:val="006B054F"/>
    <w:rsid w:val="006B1709"/>
    <w:rsid w:val="006B3474"/>
    <w:rsid w:val="006B38C5"/>
    <w:rsid w:val="006B5883"/>
    <w:rsid w:val="006D34C0"/>
    <w:rsid w:val="006D5F46"/>
    <w:rsid w:val="006D6C91"/>
    <w:rsid w:val="006E5232"/>
    <w:rsid w:val="006F182D"/>
    <w:rsid w:val="006F647B"/>
    <w:rsid w:val="00701689"/>
    <w:rsid w:val="007032BF"/>
    <w:rsid w:val="00704747"/>
    <w:rsid w:val="00705295"/>
    <w:rsid w:val="00706006"/>
    <w:rsid w:val="0071093D"/>
    <w:rsid w:val="007164F2"/>
    <w:rsid w:val="00721927"/>
    <w:rsid w:val="00725FFB"/>
    <w:rsid w:val="007333F0"/>
    <w:rsid w:val="00753825"/>
    <w:rsid w:val="007541E2"/>
    <w:rsid w:val="007622B7"/>
    <w:rsid w:val="00766C35"/>
    <w:rsid w:val="007677EB"/>
    <w:rsid w:val="00772E1A"/>
    <w:rsid w:val="00775389"/>
    <w:rsid w:val="00775ED4"/>
    <w:rsid w:val="007861F5"/>
    <w:rsid w:val="00791C2C"/>
    <w:rsid w:val="00792F75"/>
    <w:rsid w:val="007A0642"/>
    <w:rsid w:val="007B006B"/>
    <w:rsid w:val="007B147F"/>
    <w:rsid w:val="007B1D16"/>
    <w:rsid w:val="007B54E2"/>
    <w:rsid w:val="007B7C71"/>
    <w:rsid w:val="007D3255"/>
    <w:rsid w:val="007E0DA6"/>
    <w:rsid w:val="007E27C9"/>
    <w:rsid w:val="007E63F1"/>
    <w:rsid w:val="007F0B7C"/>
    <w:rsid w:val="007F521D"/>
    <w:rsid w:val="007F6A59"/>
    <w:rsid w:val="00807076"/>
    <w:rsid w:val="00813F69"/>
    <w:rsid w:val="00822D6B"/>
    <w:rsid w:val="008259AA"/>
    <w:rsid w:val="00834EAA"/>
    <w:rsid w:val="00852570"/>
    <w:rsid w:val="00855524"/>
    <w:rsid w:val="00860C78"/>
    <w:rsid w:val="00863C45"/>
    <w:rsid w:val="00864047"/>
    <w:rsid w:val="008645DD"/>
    <w:rsid w:val="0086652E"/>
    <w:rsid w:val="008709A1"/>
    <w:rsid w:val="008720BD"/>
    <w:rsid w:val="00872EFA"/>
    <w:rsid w:val="008804CB"/>
    <w:rsid w:val="00896EBF"/>
    <w:rsid w:val="008A2FBD"/>
    <w:rsid w:val="008A5552"/>
    <w:rsid w:val="008B210C"/>
    <w:rsid w:val="008B3EF4"/>
    <w:rsid w:val="008C7265"/>
    <w:rsid w:val="008D5C59"/>
    <w:rsid w:val="008D5CA4"/>
    <w:rsid w:val="008E1D95"/>
    <w:rsid w:val="008E2967"/>
    <w:rsid w:val="008F397B"/>
    <w:rsid w:val="008F399C"/>
    <w:rsid w:val="009017FE"/>
    <w:rsid w:val="00905BB7"/>
    <w:rsid w:val="009108F0"/>
    <w:rsid w:val="00912321"/>
    <w:rsid w:val="00921D09"/>
    <w:rsid w:val="00926FE6"/>
    <w:rsid w:val="009344C0"/>
    <w:rsid w:val="00937921"/>
    <w:rsid w:val="00951E6A"/>
    <w:rsid w:val="00951E97"/>
    <w:rsid w:val="0095326B"/>
    <w:rsid w:val="009546D1"/>
    <w:rsid w:val="0095583E"/>
    <w:rsid w:val="00956B79"/>
    <w:rsid w:val="009571B1"/>
    <w:rsid w:val="00963924"/>
    <w:rsid w:val="0096693E"/>
    <w:rsid w:val="00974487"/>
    <w:rsid w:val="009815AA"/>
    <w:rsid w:val="00982B74"/>
    <w:rsid w:val="0099200A"/>
    <w:rsid w:val="00993ABC"/>
    <w:rsid w:val="009A24A7"/>
    <w:rsid w:val="009A5AD0"/>
    <w:rsid w:val="009A5CFA"/>
    <w:rsid w:val="009A5E25"/>
    <w:rsid w:val="009A6820"/>
    <w:rsid w:val="009C328C"/>
    <w:rsid w:val="009E210B"/>
    <w:rsid w:val="009E4D82"/>
    <w:rsid w:val="009E7AD0"/>
    <w:rsid w:val="009F3DBE"/>
    <w:rsid w:val="00A041A3"/>
    <w:rsid w:val="00A21876"/>
    <w:rsid w:val="00A24303"/>
    <w:rsid w:val="00A2446B"/>
    <w:rsid w:val="00A40A6B"/>
    <w:rsid w:val="00A572FC"/>
    <w:rsid w:val="00A60004"/>
    <w:rsid w:val="00A62C07"/>
    <w:rsid w:val="00A65B1A"/>
    <w:rsid w:val="00A66B71"/>
    <w:rsid w:val="00A714F8"/>
    <w:rsid w:val="00A725E7"/>
    <w:rsid w:val="00A72F74"/>
    <w:rsid w:val="00A74ECD"/>
    <w:rsid w:val="00A77F77"/>
    <w:rsid w:val="00A87844"/>
    <w:rsid w:val="00AA0C5C"/>
    <w:rsid w:val="00AA2E0F"/>
    <w:rsid w:val="00AB3333"/>
    <w:rsid w:val="00AC06DF"/>
    <w:rsid w:val="00AC17DC"/>
    <w:rsid w:val="00AD0767"/>
    <w:rsid w:val="00AD3ACE"/>
    <w:rsid w:val="00AE3CD6"/>
    <w:rsid w:val="00AF1466"/>
    <w:rsid w:val="00AF4059"/>
    <w:rsid w:val="00AF6E33"/>
    <w:rsid w:val="00B0066D"/>
    <w:rsid w:val="00B00C3B"/>
    <w:rsid w:val="00B00F4D"/>
    <w:rsid w:val="00B02FA0"/>
    <w:rsid w:val="00B15E6B"/>
    <w:rsid w:val="00B2101D"/>
    <w:rsid w:val="00B223DF"/>
    <w:rsid w:val="00B259D0"/>
    <w:rsid w:val="00B30E40"/>
    <w:rsid w:val="00B33F89"/>
    <w:rsid w:val="00B406C3"/>
    <w:rsid w:val="00B45117"/>
    <w:rsid w:val="00B473C0"/>
    <w:rsid w:val="00B510B3"/>
    <w:rsid w:val="00B514E3"/>
    <w:rsid w:val="00B52372"/>
    <w:rsid w:val="00B606C1"/>
    <w:rsid w:val="00B60F38"/>
    <w:rsid w:val="00B63B83"/>
    <w:rsid w:val="00B7128E"/>
    <w:rsid w:val="00B77678"/>
    <w:rsid w:val="00B82698"/>
    <w:rsid w:val="00B862BC"/>
    <w:rsid w:val="00B877F2"/>
    <w:rsid w:val="00B91E26"/>
    <w:rsid w:val="00B9343E"/>
    <w:rsid w:val="00BA1C2E"/>
    <w:rsid w:val="00BA2CF1"/>
    <w:rsid w:val="00BA2FEF"/>
    <w:rsid w:val="00BA3DF5"/>
    <w:rsid w:val="00BB275C"/>
    <w:rsid w:val="00BB43C4"/>
    <w:rsid w:val="00BD7C04"/>
    <w:rsid w:val="00BE4B76"/>
    <w:rsid w:val="00BE4FC0"/>
    <w:rsid w:val="00BE6B61"/>
    <w:rsid w:val="00BE6DF1"/>
    <w:rsid w:val="00BF286B"/>
    <w:rsid w:val="00BF5131"/>
    <w:rsid w:val="00BF6BE6"/>
    <w:rsid w:val="00BF7C65"/>
    <w:rsid w:val="00C03055"/>
    <w:rsid w:val="00C07564"/>
    <w:rsid w:val="00C10F94"/>
    <w:rsid w:val="00C11210"/>
    <w:rsid w:val="00C20FBC"/>
    <w:rsid w:val="00C258B8"/>
    <w:rsid w:val="00C3028C"/>
    <w:rsid w:val="00C45788"/>
    <w:rsid w:val="00C55D39"/>
    <w:rsid w:val="00C61B5C"/>
    <w:rsid w:val="00C7290E"/>
    <w:rsid w:val="00C72FD9"/>
    <w:rsid w:val="00C82015"/>
    <w:rsid w:val="00C83C59"/>
    <w:rsid w:val="00C83F56"/>
    <w:rsid w:val="00C85BAE"/>
    <w:rsid w:val="00CB4C6B"/>
    <w:rsid w:val="00CB4F9D"/>
    <w:rsid w:val="00CC71AD"/>
    <w:rsid w:val="00CD60F8"/>
    <w:rsid w:val="00CD7173"/>
    <w:rsid w:val="00CE31EC"/>
    <w:rsid w:val="00CE38C5"/>
    <w:rsid w:val="00CE396F"/>
    <w:rsid w:val="00D11805"/>
    <w:rsid w:val="00D12138"/>
    <w:rsid w:val="00D13085"/>
    <w:rsid w:val="00D16099"/>
    <w:rsid w:val="00D2547D"/>
    <w:rsid w:val="00D406C7"/>
    <w:rsid w:val="00D42A22"/>
    <w:rsid w:val="00D44002"/>
    <w:rsid w:val="00D46D9D"/>
    <w:rsid w:val="00D47513"/>
    <w:rsid w:val="00D621B8"/>
    <w:rsid w:val="00D636CC"/>
    <w:rsid w:val="00D723F9"/>
    <w:rsid w:val="00D72439"/>
    <w:rsid w:val="00D82ACD"/>
    <w:rsid w:val="00D82FD5"/>
    <w:rsid w:val="00D85EC4"/>
    <w:rsid w:val="00D871EA"/>
    <w:rsid w:val="00D93706"/>
    <w:rsid w:val="00D94FCD"/>
    <w:rsid w:val="00D950EA"/>
    <w:rsid w:val="00D96EA8"/>
    <w:rsid w:val="00DA212F"/>
    <w:rsid w:val="00DA251A"/>
    <w:rsid w:val="00DC3937"/>
    <w:rsid w:val="00DC732D"/>
    <w:rsid w:val="00DD0BA6"/>
    <w:rsid w:val="00DD3603"/>
    <w:rsid w:val="00DD64EF"/>
    <w:rsid w:val="00DF0775"/>
    <w:rsid w:val="00DF4197"/>
    <w:rsid w:val="00DF5F79"/>
    <w:rsid w:val="00E0175E"/>
    <w:rsid w:val="00E13E2E"/>
    <w:rsid w:val="00E21EA3"/>
    <w:rsid w:val="00E271FD"/>
    <w:rsid w:val="00E336B6"/>
    <w:rsid w:val="00E362EE"/>
    <w:rsid w:val="00E36FC7"/>
    <w:rsid w:val="00E453BB"/>
    <w:rsid w:val="00E47C44"/>
    <w:rsid w:val="00E50747"/>
    <w:rsid w:val="00E5448F"/>
    <w:rsid w:val="00E55CD9"/>
    <w:rsid w:val="00E55EE8"/>
    <w:rsid w:val="00E6064A"/>
    <w:rsid w:val="00E67EAB"/>
    <w:rsid w:val="00E7615F"/>
    <w:rsid w:val="00E841EA"/>
    <w:rsid w:val="00E920BB"/>
    <w:rsid w:val="00E9232F"/>
    <w:rsid w:val="00E96FA6"/>
    <w:rsid w:val="00EA3C07"/>
    <w:rsid w:val="00EB1A2B"/>
    <w:rsid w:val="00EB4CD5"/>
    <w:rsid w:val="00EC4010"/>
    <w:rsid w:val="00EC56E1"/>
    <w:rsid w:val="00EC7316"/>
    <w:rsid w:val="00ED0FAA"/>
    <w:rsid w:val="00ED1D53"/>
    <w:rsid w:val="00EE0628"/>
    <w:rsid w:val="00EF2F8C"/>
    <w:rsid w:val="00EF424E"/>
    <w:rsid w:val="00EF6EDC"/>
    <w:rsid w:val="00F01F64"/>
    <w:rsid w:val="00F10697"/>
    <w:rsid w:val="00F16D5D"/>
    <w:rsid w:val="00F22281"/>
    <w:rsid w:val="00F22D4A"/>
    <w:rsid w:val="00F34357"/>
    <w:rsid w:val="00F35D3F"/>
    <w:rsid w:val="00F42D9D"/>
    <w:rsid w:val="00F4718B"/>
    <w:rsid w:val="00F54C74"/>
    <w:rsid w:val="00F55C41"/>
    <w:rsid w:val="00F600EB"/>
    <w:rsid w:val="00F659B6"/>
    <w:rsid w:val="00F669CE"/>
    <w:rsid w:val="00F74D9B"/>
    <w:rsid w:val="00F778DE"/>
    <w:rsid w:val="00F80F9E"/>
    <w:rsid w:val="00F84C48"/>
    <w:rsid w:val="00F853CF"/>
    <w:rsid w:val="00F86F97"/>
    <w:rsid w:val="00F9180B"/>
    <w:rsid w:val="00F91DA2"/>
    <w:rsid w:val="00F93579"/>
    <w:rsid w:val="00FA1B6A"/>
    <w:rsid w:val="00FA65EC"/>
    <w:rsid w:val="00FB07A5"/>
    <w:rsid w:val="00FC35F4"/>
    <w:rsid w:val="00FD0B1F"/>
    <w:rsid w:val="00FD5C97"/>
    <w:rsid w:val="00FD5F63"/>
    <w:rsid w:val="00FE2D68"/>
    <w:rsid w:val="00FE701A"/>
    <w:rsid w:val="00FF206B"/>
    <w:rsid w:val="00FF2D03"/>
    <w:rsid w:val="00FF673B"/>
    <w:rsid w:val="0409627F"/>
    <w:rsid w:val="07E278CA"/>
    <w:rsid w:val="08C42428"/>
    <w:rsid w:val="0AC10DE7"/>
    <w:rsid w:val="0AF7769F"/>
    <w:rsid w:val="0D2A2BD9"/>
    <w:rsid w:val="10903482"/>
    <w:rsid w:val="12640D40"/>
    <w:rsid w:val="16D4431A"/>
    <w:rsid w:val="17267E25"/>
    <w:rsid w:val="17857D73"/>
    <w:rsid w:val="1CD7173B"/>
    <w:rsid w:val="1D913735"/>
    <w:rsid w:val="1E6727CB"/>
    <w:rsid w:val="20CE7112"/>
    <w:rsid w:val="26687EAC"/>
    <w:rsid w:val="271D48A9"/>
    <w:rsid w:val="291C6203"/>
    <w:rsid w:val="295E7770"/>
    <w:rsid w:val="2A2F4647"/>
    <w:rsid w:val="2AA60682"/>
    <w:rsid w:val="312C4083"/>
    <w:rsid w:val="329B6DD2"/>
    <w:rsid w:val="35541CB8"/>
    <w:rsid w:val="41CC686E"/>
    <w:rsid w:val="43B62A59"/>
    <w:rsid w:val="45542192"/>
    <w:rsid w:val="463D4609"/>
    <w:rsid w:val="495D07DC"/>
    <w:rsid w:val="4DAE4E74"/>
    <w:rsid w:val="50666404"/>
    <w:rsid w:val="524A3383"/>
    <w:rsid w:val="56B01679"/>
    <w:rsid w:val="5BD802D7"/>
    <w:rsid w:val="5EB73249"/>
    <w:rsid w:val="61466245"/>
    <w:rsid w:val="65235FE3"/>
    <w:rsid w:val="684E6502"/>
    <w:rsid w:val="6CBA1096"/>
    <w:rsid w:val="72687E93"/>
    <w:rsid w:val="73530A5F"/>
    <w:rsid w:val="7B2576E8"/>
    <w:rsid w:val="7BA67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ody Text Indent"/>
    <w:basedOn w:val="1"/>
    <w:qFormat/>
    <w:uiPriority w:val="0"/>
    <w:pPr>
      <w:ind w:firstLine="489" w:firstLineChars="178"/>
    </w:pPr>
    <w:rPr>
      <w:sz w:val="28"/>
    </w:rPr>
  </w:style>
  <w:style w:type="paragraph" w:styleId="4">
    <w:name w:val="List Continue"/>
    <w:basedOn w:val="1"/>
    <w:qFormat/>
    <w:uiPriority w:val="0"/>
    <w:pPr>
      <w:spacing w:after="120"/>
    </w:pPr>
  </w:style>
  <w:style w:type="paragraph" w:styleId="5">
    <w:name w:val="Date"/>
    <w:basedOn w:val="1"/>
    <w:next w:val="1"/>
    <w:qFormat/>
    <w:uiPriority w:val="0"/>
    <w:rPr>
      <w:rFonts w:hint="eastAsia" w:ascii="宋体" w:hAnsi="宋体"/>
      <w:sz w:val="28"/>
    </w:rPr>
  </w:style>
  <w:style w:type="paragraph" w:styleId="6">
    <w:name w:val="Body Text Indent 2"/>
    <w:basedOn w:val="1"/>
    <w:qFormat/>
    <w:uiPriority w:val="0"/>
    <w:pPr>
      <w:ind w:firstLine="538" w:firstLineChars="196"/>
    </w:pPr>
    <w:rPr>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pPr>
  </w:style>
  <w:style w:type="paragraph" w:styleId="11">
    <w:name w:val="Body Text Indent 3"/>
    <w:basedOn w:val="1"/>
    <w:qFormat/>
    <w:uiPriority w:val="0"/>
    <w:pPr>
      <w:spacing w:after="120"/>
      <w:ind w:left="420" w:leftChars="200"/>
    </w:pPr>
    <w:rPr>
      <w:sz w:val="16"/>
      <w:szCs w:val="16"/>
    </w:rPr>
  </w:style>
  <w:style w:type="paragraph" w:customStyle="1" w:styleId="14">
    <w:name w:val="msoacetate"/>
    <w:basedOn w:val="1"/>
    <w:qFormat/>
    <w:uiPriority w:val="0"/>
    <w:rPr>
      <w:sz w:val="18"/>
      <w:szCs w:val="18"/>
    </w:rPr>
  </w:style>
  <w:style w:type="paragraph" w:customStyle="1" w:styleId="15">
    <w:name w:val="Char"/>
    <w:basedOn w:val="1"/>
    <w:qFormat/>
    <w:uiPriority w:val="0"/>
    <w:pPr>
      <w:tabs>
        <w:tab w:val="left" w:pos="360"/>
      </w:tabs>
    </w:pPr>
    <w:rPr>
      <w:sz w:val="24"/>
    </w:rPr>
  </w:style>
  <w:style w:type="character" w:customStyle="1" w:styleId="16">
    <w:name w:val="ca-41"/>
    <w:qFormat/>
    <w:uiPriority w:val="0"/>
    <w:rPr>
      <w:rFonts w:hint="default" w:ascii="Times New Roman" w:hAnsi="Times New Roman" w:cs="Times New Roman"/>
      <w:sz w:val="24"/>
      <w:szCs w:val="24"/>
    </w:rPr>
  </w:style>
  <w:style w:type="character" w:customStyle="1" w:styleId="17">
    <w:name w:val="ca-31"/>
    <w:qFormat/>
    <w:uiPriority w:val="0"/>
    <w:rPr>
      <w:rFonts w:hint="eastAsia" w:ascii="宋体" w:hAnsi="宋体" w:eastAsia="宋体"/>
      <w:sz w:val="24"/>
      <w:szCs w:val="24"/>
    </w:rPr>
  </w:style>
  <w:style w:type="paragraph" w:customStyle="1" w:styleId="18">
    <w:name w:val="pa-4"/>
    <w:basedOn w:val="1"/>
    <w:qFormat/>
    <w:uiPriority w:val="0"/>
    <w:pPr>
      <w:widowControl/>
      <w:spacing w:line="480" w:lineRule="atLeast"/>
      <w:ind w:firstLine="480"/>
    </w:pPr>
    <w:rPr>
      <w:rFonts w:ascii="宋体" w:hAnsi="宋体" w:cs="宋体"/>
      <w:kern w:val="0"/>
      <w:sz w:val="24"/>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0101-8915-4F07-A480-8DE58B4BDA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999</Words>
  <Characters>1058</Characters>
  <Lines>14</Lines>
  <Paragraphs>4</Paragraphs>
  <TotalTime>43</TotalTime>
  <ScaleCrop>false</ScaleCrop>
  <LinksUpToDate>false</LinksUpToDate>
  <CharactersWithSpaces>1059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2017-04-26T07:37:00Z</dcterms:created>
  <dc:creator>zjsj</dc:creator>
  <cp:lastModifiedBy>自来也1404713920</cp:lastModifiedBy>
  <cp:lastPrinted>2020-03-25T08:09:00Z</cp:lastPrinted>
  <dcterms:modified xsi:type="dcterms:W3CDTF">2022-07-27T01:00:48Z</dcterms:modified>
  <dc:title>1 总 则</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9484F10CD7CC4557A33FC4D25C22FBB2</vt:lpwstr>
  </property>
</Properties>
</file>