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宋体" w:hAnsi="宋体" w:eastAsia="宋体" w:cs="宋体"/>
          <w:sz w:val="36"/>
          <w:lang w:val="en-US" w:eastAsia="zh-CN"/>
        </w:rPr>
      </w:pPr>
      <w:r>
        <w:rPr>
          <w:rFonts w:hint="eastAsia" w:ascii="宋体" w:hAnsi="宋体" w:cs="宋体"/>
          <w:sz w:val="36"/>
          <w:lang w:val="en-US" w:eastAsia="zh-CN"/>
        </w:rPr>
        <w:t>K值</w:t>
      </w:r>
      <w:r>
        <w:rPr>
          <w:rFonts w:hint="eastAsia" w:ascii="宋体" w:hAnsi="宋体" w:cs="宋体"/>
          <w:sz w:val="36"/>
        </w:rPr>
        <w:t>评标方法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本工程具体评标办法如下：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1、确定有效投标报价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（1）凡符合招标文件、招标答疑纪要等有关招标实质性要求，且在招标控制价及以下的投标报价均为有效投标报价，未能实质性响应上述有关招标要求的为无效投标文件。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2、确定评标基准价C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1）评标基准价C=A×K；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2）A为所有有效投标报价的算术平均值(若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家≤有效投标文件&lt;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家时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有效报价全入围</w:t>
      </w:r>
      <w:r>
        <w:rPr>
          <w:rFonts w:hint="eastAsia" w:ascii="宋体" w:hAnsi="宋体"/>
          <w:sz w:val="24"/>
          <w:szCs w:val="24"/>
        </w:rPr>
        <w:t>取算术平均值为A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若7家≤有效投标文件&lt;10家时，去掉其中的一个最高价和一个最低价后取算术平均值为A；若有效投标文件≥10家时，去掉其中的二个最高价和二个最低价后取算术平均值为A)；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3）K值在唱标结束后由投标人推选的代表随机抽取确定，一经确定，在后续的评审中出现任何情形都将不改变取值结果。K值的取值范围为95%、96%、97%、98%；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3、打分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有效投标报价与评标基准价相等得满分100分，有效投标报价高于该基准价的，每高出1%扣0.4-0.6分，具体扣分值在开标时随机抽取0.4分、0.5分、0.6分；有效投标报价低于该基准价的，每低出1%扣0.4-0.6分，具体扣分值在开标时随机抽取0.4分、0.5分、0.6分。（按内插法，四舍五入取两位小数）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4、定标 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1、在所有有效投标价中得分最高的投标单位为第一中标候选单位。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2、如有两家或两家以上第一中标候选单位，则以开标签到先后顺序抽签确定中标单位。</w:t>
      </w:r>
      <w:r>
        <w:rPr>
          <w:rFonts w:hint="eastAsia" w:ascii="宋体" w:hAnsi="宋体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M2IzYTlhZjU3ZjAxMjc3YTU0YTg0MmJiM2Y3M2IifQ=="/>
  </w:docVars>
  <w:rsids>
    <w:rsidRoot w:val="4CAC3227"/>
    <w:rsid w:val="070B6B11"/>
    <w:rsid w:val="34DD06F9"/>
    <w:rsid w:val="3D6311DC"/>
    <w:rsid w:val="454D7613"/>
    <w:rsid w:val="4CAC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pacing w:after="120" w:line="240" w:lineRule="auto"/>
      <w:ind w:left="420" w:leftChars="200" w:firstLine="420"/>
      <w:jc w:val="both"/>
      <w:textAlignment w:val="auto"/>
    </w:pPr>
    <w:rPr>
      <w:rFonts w:ascii="宋体" w:hAnsi="宋体" w:eastAsia="宋体"/>
      <w:color w:val="000000"/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spacing w:line="720" w:lineRule="exact"/>
      <w:ind w:firstLine="734" w:firstLineChars="262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2022-08-08T05:23:00Z</dcterms:created>
  <dc:creator>最光阴</dc:creator>
  <cp:lastModifiedBy>最光阴</cp:lastModifiedBy>
  <dcterms:modified xsi:type="dcterms:W3CDTF">2022-08-08T05:24:50Z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164626453CFD45D0AE3C4C0A2D3E7AA9</vt:lpwstr>
  </property>
</Properties>
</file>