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丹阳市人民医院巡更系统</w:t>
      </w:r>
    </w:p>
    <w:p>
      <w:pPr>
        <w:pStyle w:val="4"/>
        <w:bidi w:val="0"/>
        <w:rPr>
          <w:rFonts w:hint="default"/>
          <w:lang w:val="en-US" w:eastAsia="zh-CN"/>
        </w:rPr>
      </w:pPr>
      <w:r>
        <w:rPr>
          <w:rFonts w:hint="eastAsia"/>
          <w:lang w:val="en-US" w:eastAsia="zh-CN"/>
        </w:rPr>
        <w:t>第一部分 竞争性谈判邀请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lang w:val="en-US" w:eastAsia="zh-CN"/>
        </w:rPr>
        <w:t>丹阳市人民医院巡更系统</w:t>
      </w:r>
      <w:r>
        <w:rPr>
          <w:rFonts w:hint="eastAsia" w:ascii="宋体" w:hAnsi="宋体" w:eastAsia="宋体" w:cs="宋体"/>
          <w:sz w:val="24"/>
          <w:szCs w:val="24"/>
          <w:lang w:val="en-US" w:eastAsia="zh-CN"/>
        </w:rPr>
        <w:t>。</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w:t>
      </w:r>
      <w:r>
        <w:rPr>
          <w:rFonts w:hint="eastAsia" w:ascii="楷体" w:hAnsi="楷体" w:eastAsia="楷体" w:cs="楷体"/>
          <w:b w:val="0"/>
          <w:bCs w:val="0"/>
          <w:sz w:val="24"/>
          <w:szCs w:val="24"/>
          <w:lang w:val="en-US" w:eastAsia="zh-CN"/>
        </w:rPr>
        <w:t>DRY-CG-2022035</w:t>
      </w:r>
      <w:r>
        <w:rPr>
          <w:rFonts w:hint="eastAsia" w:ascii="宋体" w:hAnsi="宋体" w:eastAsia="宋体" w:cs="宋体"/>
          <w:sz w:val="24"/>
          <w:szCs w:val="24"/>
          <w:lang w:val="en-US" w:eastAsia="zh-CN"/>
        </w:rPr>
        <w:t>。</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招标控制价（最高限价）：37160元。</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在院内建立一套在线式巡更系统，将巡更人员的巡更打点情况通过GPRS/4G/wifi等网络，实时上传至管理系统。在线式巡更系统采用NFC巡更点标签，巡更人员配备智能巡更终端，按预先排好的巡更班次、时间间隔、线路走向到各巡更点巡视，借助巡更app通过NFC识别的方式读取有关信息，通过GPRS/4G无线通讯将巡更的地点信息、该地点的事件信息以及报警信息发送至管理系统，保证使用者在特定环境和特殊时间里巡更信息上传的及时性。巡更人员发现异常问题可以通过巡更app进行现场问题拍照反馈，以实现对巡更人员及其工作状态和现场工作情况的有效管理。</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竞争性谈判，发布公告：丹阳市人民医院门户网、丹阳市人民医院OA网站。</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报名时间：2022年8月26  日至2022年9月1 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pPr>
        <w:spacing w:line="360" w:lineRule="auto"/>
      </w:pPr>
      <w:r>
        <w:rPr>
          <w:rFonts w:hint="eastAsia"/>
          <w:lang w:val="en-US" w:eastAsia="zh-CN"/>
        </w:rPr>
        <w:t xml:space="preserve">1.  </w:t>
      </w:r>
      <w:r>
        <w:rPr>
          <w:b/>
          <w:sz w:val="24"/>
        </w:rPr>
        <w:t>投标人应具备《中华人民共和国政府采购法》第二十二条规定的条件，提供下列材料：</w:t>
      </w:r>
    </w:p>
    <w:p>
      <w:pPr>
        <w:spacing w:line="360" w:lineRule="auto"/>
      </w:pPr>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line="360" w:lineRule="auto"/>
      </w:pPr>
      <w:r>
        <w:t>2）有依法缴纳税收和社会保障资金的良好记录：有依法缴纳税收和社会保障资金的良好记录（提供</w:t>
      </w:r>
      <w:r>
        <w:rPr>
          <w:rFonts w:hint="eastAsia"/>
        </w:rPr>
        <w:t>资格承诺函</w:t>
      </w:r>
      <w:r>
        <w:t>）。</w:t>
      </w:r>
    </w:p>
    <w:p>
      <w:pPr>
        <w:spacing w:line="360" w:lineRule="auto"/>
      </w:pPr>
      <w:r>
        <w:t>3）具有良好的商业信誉和健全的财务会计制度：供应商必须具有良好的商业信誉和健全的财务会计制度（提供</w:t>
      </w:r>
      <w:r>
        <w:rPr>
          <w:rFonts w:hint="eastAsia"/>
        </w:rPr>
        <w:t>资格承诺函</w:t>
      </w:r>
      <w:r>
        <w:t>） 。</w:t>
      </w:r>
    </w:p>
    <w:p>
      <w:pPr>
        <w:spacing w:line="360" w:lineRule="auto"/>
      </w:pPr>
      <w:r>
        <w:t>4）履行合同所必需的设备和专业技术能力：按投标（响应）文件格式填报设备及专业技术能力情况（提供</w:t>
      </w:r>
      <w:r>
        <w:rPr>
          <w:rFonts w:hint="eastAsia"/>
        </w:rPr>
        <w:t>资格承诺函</w:t>
      </w:r>
      <w:r>
        <w:t>）。</w:t>
      </w:r>
    </w:p>
    <w:p>
      <w:pPr>
        <w:numPr>
          <w:ilvl w:val="0"/>
          <w:numId w:val="5"/>
        </w:numPr>
        <w:spacing w:line="360" w:lineRule="auto"/>
      </w:pPr>
      <w:r>
        <w:rPr>
          <w:b/>
          <w:sz w:val="24"/>
        </w:rPr>
        <w:t>本项目特定的资格要求：</w:t>
      </w:r>
    </w:p>
    <w:p>
      <w:pPr>
        <w:spacing w:line="360" w:lineRule="auto"/>
        <w:rPr>
          <w:rFonts w:hint="eastAsia"/>
        </w:rPr>
      </w:pPr>
      <w:r>
        <w:rPr>
          <w:rFonts w:hint="eastAsia"/>
          <w:lang w:val="en-US" w:eastAsia="zh-CN"/>
        </w:rPr>
        <w:t>1）</w:t>
      </w:r>
      <w:r>
        <w:rPr>
          <w:rFonts w:hint="eastAsia"/>
        </w:rPr>
        <w:t>营业执照核准的经营范围内应包含“计算机软件开发及销售；计算机系统集成”等内容。</w:t>
      </w:r>
    </w:p>
    <w:p>
      <w:pPr>
        <w:spacing w:line="360" w:lineRule="auto"/>
      </w:pPr>
      <w:r>
        <w:rPr>
          <w:rFonts w:hint="eastAsia"/>
          <w:lang w:val="en-US" w:eastAsia="zh-CN"/>
        </w:rPr>
        <w:t>2）</w:t>
      </w:r>
      <w:r>
        <w:rPr>
          <w:rFonts w:hint="eastAsia"/>
        </w:rPr>
        <w:t>单位负责人为同一人或者存在直接控股、管理关系的不同供应商，不得同时参加本采购项目（或采购包）投标（响应）。为本项目提供整体设计、规范编制或者项目管理、 监理、 检测等服务的供应商，不得再参与本项目</w:t>
      </w:r>
      <w:r>
        <w:t>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253"/>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63"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253"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分类</w:t>
            </w:r>
          </w:p>
        </w:tc>
        <w:tc>
          <w:tcPr>
            <w:tcW w:w="680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63"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1253" w:type="dxa"/>
            <w:vAlign w:val="center"/>
          </w:tcPr>
          <w:p>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rPr>
              <w:t>服务要求</w:t>
            </w:r>
          </w:p>
          <w:p>
            <w:pPr>
              <w:numPr>
                <w:ilvl w:val="0"/>
                <w:numId w:val="0"/>
              </w:numPr>
              <w:rPr>
                <w:rFonts w:hint="eastAsia" w:ascii="宋体" w:hAnsi="宋体" w:eastAsia="宋体" w:cs="宋体"/>
                <w:b w:val="0"/>
                <w:bCs w:val="0"/>
                <w:sz w:val="24"/>
                <w:szCs w:val="24"/>
                <w:lang w:val="en-US" w:eastAsia="zh-CN"/>
              </w:rPr>
            </w:pPr>
          </w:p>
        </w:tc>
        <w:tc>
          <w:tcPr>
            <w:tcW w:w="6805" w:type="dxa"/>
            <w:vAlign w:val="center"/>
          </w:tcPr>
          <w:p>
            <w:pPr>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用户可</w:t>
            </w:r>
            <w:r>
              <w:rPr>
                <w:rFonts w:hint="eastAsia" w:ascii="宋体" w:hAnsi="宋体" w:eastAsia="宋体" w:cs="宋体"/>
                <w:b w:val="0"/>
                <w:bCs w:val="0"/>
                <w:color w:val="000000" w:themeColor="text1"/>
                <w:sz w:val="24"/>
                <w:szCs w:val="24"/>
                <w:lang w:eastAsia="zh-CN"/>
                <w14:textFill>
                  <w14:solidFill>
                    <w14:schemeClr w14:val="tx1"/>
                  </w14:solidFill>
                </w14:textFill>
              </w:rPr>
              <w:t>通过</w:t>
            </w:r>
            <w:r>
              <w:rPr>
                <w:rFonts w:hint="eastAsia" w:ascii="宋体" w:hAnsi="宋体" w:eastAsia="宋体" w:cs="宋体"/>
                <w:b w:val="0"/>
                <w:bCs w:val="0"/>
                <w:color w:val="000000" w:themeColor="text1"/>
                <w:sz w:val="24"/>
                <w:szCs w:val="24"/>
                <w14:textFill>
                  <w14:solidFill>
                    <w14:schemeClr w14:val="tx1"/>
                  </w14:solidFill>
                </w14:textFill>
              </w:rPr>
              <w:t>过浏览器</w:t>
            </w:r>
            <w:r>
              <w:rPr>
                <w:rFonts w:hint="eastAsia" w:ascii="宋体" w:hAnsi="宋体" w:eastAsia="宋体" w:cs="宋体"/>
                <w:b w:val="0"/>
                <w:bCs w:val="0"/>
                <w:sz w:val="24"/>
                <w:szCs w:val="24"/>
              </w:rPr>
              <w:t>在医院不同位置的电脑通过不同的身份登陆本系统进行系统使用，系统应采用B/S架构，计算机只要能连接到Internet就可以使用。系统应具备如下功能：</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1.巡更点名称设置；</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2.巡更路线制定；</w:t>
            </w:r>
          </w:p>
          <w:p>
            <w:pPr>
              <w:rPr>
                <w:rFonts w:hint="eastAsia" w:ascii="宋体" w:hAnsi="宋体" w:eastAsia="宋体" w:cs="宋体"/>
                <w:b w:val="0"/>
                <w:bCs w:val="0"/>
                <w:sz w:val="24"/>
                <w:szCs w:val="24"/>
                <w:lang w:val="zh-CN"/>
              </w:rPr>
            </w:pPr>
            <w:bookmarkStart w:id="0" w:name="_Toc508099216"/>
            <w:bookmarkStart w:id="1" w:name="_Toc507781068"/>
            <w:bookmarkStart w:id="2" w:name="_Toc525139134"/>
            <w:r>
              <w:rPr>
                <w:rFonts w:hint="eastAsia" w:ascii="宋体" w:hAnsi="宋体" w:eastAsia="宋体" w:cs="宋体"/>
                <w:b w:val="0"/>
                <w:bCs w:val="0"/>
                <w:sz w:val="24"/>
                <w:szCs w:val="24"/>
              </w:rPr>
              <w:t>3.</w:t>
            </w:r>
            <w:r>
              <w:rPr>
                <w:rFonts w:hint="eastAsia" w:ascii="宋体" w:hAnsi="宋体" w:eastAsia="宋体" w:cs="宋体"/>
                <w:b w:val="0"/>
                <w:bCs w:val="0"/>
                <w:sz w:val="24"/>
                <w:szCs w:val="24"/>
                <w:lang w:val="zh-CN"/>
              </w:rPr>
              <w:t>巡更人员通过app进行巡更，app应支持NFC触碰识别方式，巡更过程中有问题可通过app拍照将现场情况，反馈</w:t>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zh-CN"/>
              </w:rPr>
              <w:t>管理</w:t>
            </w:r>
            <w:r>
              <w:rPr>
                <w:rFonts w:hint="eastAsia" w:ascii="宋体" w:hAnsi="宋体" w:eastAsia="宋体" w:cs="宋体"/>
                <w:b w:val="0"/>
                <w:bCs w:val="0"/>
                <w:sz w:val="24"/>
                <w:szCs w:val="24"/>
              </w:rPr>
              <w:t>系统</w:t>
            </w:r>
            <w:r>
              <w:rPr>
                <w:rFonts w:hint="eastAsia" w:ascii="宋体" w:hAnsi="宋体" w:eastAsia="宋体" w:cs="宋体"/>
                <w:b w:val="0"/>
                <w:bCs w:val="0"/>
                <w:sz w:val="24"/>
                <w:szCs w:val="24"/>
                <w:lang w:val="zh-CN"/>
              </w:rPr>
              <w:t>。</w:t>
            </w:r>
          </w:p>
          <w:bookmarkEnd w:id="0"/>
          <w:bookmarkEnd w:id="1"/>
          <w:bookmarkEnd w:id="2"/>
          <w:p>
            <w:pPr>
              <w:rPr>
                <w:rFonts w:hint="eastAsia" w:ascii="宋体" w:hAnsi="宋体" w:eastAsia="宋体" w:cs="宋体"/>
                <w:b w:val="0"/>
                <w:bCs w:val="0"/>
                <w:sz w:val="24"/>
                <w:szCs w:val="24"/>
              </w:rPr>
            </w:pPr>
            <w:r>
              <w:rPr>
                <w:rFonts w:hint="eastAsia" w:ascii="宋体" w:hAnsi="宋体" w:eastAsia="宋体" w:cs="宋体"/>
                <w:b w:val="0"/>
                <w:bCs w:val="0"/>
                <w:sz w:val="24"/>
                <w:szCs w:val="24"/>
              </w:rPr>
              <w:t>4.自动生成巡更统计表，将数据以图表的形式呈现，管理者可以非常直观的通过图形的形式查看总体的巡更数据，为调整和改进巡更考核提供重要的数据依据。</w:t>
            </w:r>
          </w:p>
          <w:p>
            <w:pPr>
              <w:numPr>
                <w:ilvl w:val="0"/>
                <w:numId w:val="0"/>
              </w:numPr>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63"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2</w:t>
            </w:r>
          </w:p>
        </w:tc>
        <w:tc>
          <w:tcPr>
            <w:tcW w:w="1253" w:type="dxa"/>
            <w:vAlign w:val="center"/>
          </w:tcPr>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质量要求</w:t>
            </w:r>
          </w:p>
        </w:tc>
        <w:tc>
          <w:tcPr>
            <w:tcW w:w="6805" w:type="dxa"/>
            <w:vAlign w:val="center"/>
          </w:tcPr>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1.安全性：系统具有必要的安全保护和保密措施，有很强的应对计算机犯罪和病毒的防范能力，支持多用户分级管理的要求；</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2.容错性：系统具有较高的容错能力，有较强的抗干扰性。对各类用户的误操作应有提示或自动消除的能力；</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3.适应性：系统对不断发展和完善的统计核算方法、调查方法和指标体系具有广泛的适应性；</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4.可扩充性：系统的软硬件具有扩充升级的余地，不可因软硬件扩充、升级或改型而使原有系统失去作用；</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5.实用性：注重采用成熟而实用的技术，使系统满足用户业务需求；</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6.先进性：在实用的前提下，采用国际先进的GPRS传输模块，跟踪国内外最先进的计算机软硬件技术、信息技术及网络通信技术，使系统具有较高的性能指标；</w:t>
            </w:r>
          </w:p>
          <w:p>
            <w:pPr>
              <w:pStyle w:val="24"/>
              <w:autoSpaceDE/>
              <w:autoSpaceDN/>
              <w:spacing w:line="240" w:lineRule="auto"/>
              <w:ind w:left="0" w:leftChars="0" w:firstLine="0" w:firstLineChars="0"/>
              <w:jc w:val="both"/>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lang w:eastAsia="zh-CN"/>
              </w:rPr>
              <w:t>7.易操作性：贯彻面向最终用户的原则，建立友好的用户界面，使用户操作简单直观，易于学习掌握。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3"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3</w:t>
            </w:r>
          </w:p>
        </w:tc>
        <w:tc>
          <w:tcPr>
            <w:tcW w:w="1253" w:type="dxa"/>
            <w:vAlign w:val="center"/>
          </w:tcPr>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设备要求</w:t>
            </w:r>
          </w:p>
        </w:tc>
        <w:tc>
          <w:tcPr>
            <w:tcW w:w="6805" w:type="dxa"/>
            <w:vAlign w:val="center"/>
          </w:tcPr>
          <w:p>
            <w:pPr>
              <w:pStyle w:val="5"/>
              <w:numPr>
                <w:ilvl w:val="0"/>
                <w:numId w:val="6"/>
              </w:numPr>
              <w:tabs>
                <w:tab w:val="left" w:pos="720"/>
              </w:tabs>
              <w:ind w:leftChars="0"/>
              <w:jc w:val="both"/>
              <w:rPr>
                <w:rStyle w:val="25"/>
                <w:rFonts w:hint="eastAsia" w:ascii="宋体" w:hAnsi="宋体" w:eastAsia="宋体" w:cs="宋体"/>
                <w:b/>
                <w:bCs/>
                <w:color w:val="auto"/>
                <w:sz w:val="24"/>
                <w:szCs w:val="24"/>
              </w:rPr>
            </w:pPr>
            <w:bookmarkStart w:id="3" w:name="_Toc111365822"/>
            <w:r>
              <w:rPr>
                <w:rStyle w:val="25"/>
                <w:rFonts w:hint="eastAsia" w:ascii="宋体" w:hAnsi="宋体" w:eastAsia="宋体" w:cs="宋体"/>
                <w:b/>
                <w:bCs/>
                <w:color w:val="auto"/>
                <w:sz w:val="24"/>
                <w:szCs w:val="24"/>
              </w:rPr>
              <w:t>NFC巡更点</w:t>
            </w:r>
            <w:bookmarkEnd w:id="3"/>
            <w:r>
              <w:rPr>
                <w:rStyle w:val="25"/>
                <w:rFonts w:hint="eastAsia" w:ascii="宋体" w:hAnsi="宋体" w:eastAsia="宋体" w:cs="宋体"/>
                <w:b/>
                <w:bCs/>
                <w:color w:val="auto"/>
                <w:sz w:val="24"/>
                <w:szCs w:val="24"/>
                <w:lang w:eastAsia="zh-CN"/>
              </w:rPr>
              <w:t>：</w:t>
            </w:r>
          </w:p>
          <w:p>
            <w:pPr>
              <w:numPr>
                <w:ilvl w:val="0"/>
                <w:numId w:val="7"/>
              </w:numPr>
              <w:ind w:left="425" w:leftChars="0" w:hanging="425"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数量：160点；</w:t>
            </w:r>
          </w:p>
          <w:p>
            <w:pPr>
              <w:numPr>
                <w:ilvl w:val="0"/>
                <w:numId w:val="7"/>
              </w:numPr>
              <w:ind w:left="425" w:leftChars="0" w:hanging="425" w:firstLineChars="0"/>
              <w:rPr>
                <w:rFonts w:hint="eastAsia" w:ascii="宋体" w:hAnsi="宋体" w:eastAsia="宋体" w:cs="宋体"/>
                <w:b w:val="0"/>
                <w:bCs w:val="0"/>
                <w:color w:val="000000"/>
                <w:sz w:val="24"/>
                <w:szCs w:val="24"/>
                <w:lang w:val="en-AU"/>
              </w:rPr>
            </w:pPr>
            <w:r>
              <w:rPr>
                <w:rFonts w:hint="eastAsia" w:ascii="宋体" w:hAnsi="宋体" w:eastAsia="宋体" w:cs="宋体"/>
                <w:b w:val="0"/>
                <w:bCs w:val="0"/>
                <w:color w:val="000000"/>
                <w:sz w:val="24"/>
                <w:szCs w:val="24"/>
                <w:lang w:val="en-AU"/>
              </w:rPr>
              <w:t>NFC识别，防水防尘，无需供电</w:t>
            </w:r>
            <w:r>
              <w:rPr>
                <w:rFonts w:hint="eastAsia" w:ascii="宋体" w:hAnsi="宋体" w:eastAsia="宋体" w:cs="宋体"/>
                <w:b w:val="0"/>
                <w:bCs w:val="0"/>
                <w:color w:val="000000"/>
                <w:sz w:val="24"/>
                <w:szCs w:val="24"/>
                <w:lang w:val="en-US" w:eastAsia="zh-CN"/>
              </w:rPr>
              <w:t>；</w:t>
            </w:r>
          </w:p>
          <w:p>
            <w:pPr>
              <w:numPr>
                <w:ilvl w:val="0"/>
                <w:numId w:val="7"/>
              </w:numPr>
              <w:ind w:left="425" w:leftChars="0" w:hanging="425" w:firstLineChars="0"/>
              <w:rPr>
                <w:rFonts w:hint="eastAsia" w:ascii="宋体" w:hAnsi="宋体" w:eastAsia="宋体" w:cs="宋体"/>
                <w:b w:val="0"/>
                <w:bCs w:val="0"/>
                <w:color w:val="000000"/>
                <w:sz w:val="24"/>
                <w:szCs w:val="24"/>
                <w:lang w:val="en-AU"/>
              </w:rPr>
            </w:pPr>
            <w:r>
              <w:rPr>
                <w:rFonts w:hint="eastAsia" w:ascii="宋体" w:hAnsi="宋体" w:eastAsia="宋体" w:cs="宋体"/>
                <w:b w:val="0"/>
                <w:bCs w:val="0"/>
                <w:color w:val="000000"/>
                <w:sz w:val="24"/>
                <w:szCs w:val="24"/>
                <w:lang w:val="en-AU"/>
              </w:rPr>
              <w:t>支持3M背胶及螺丝安装两种方式</w:t>
            </w:r>
            <w:r>
              <w:rPr>
                <w:rFonts w:hint="eastAsia" w:ascii="宋体" w:hAnsi="宋体" w:eastAsia="宋体" w:cs="宋体"/>
                <w:b w:val="0"/>
                <w:bCs w:val="0"/>
                <w:color w:val="000000"/>
                <w:sz w:val="24"/>
                <w:szCs w:val="24"/>
                <w:lang w:val="en-AU" w:eastAsia="zh-CN"/>
              </w:rPr>
              <w:t>。</w:t>
            </w:r>
          </w:p>
          <w:p>
            <w:pPr>
              <w:pStyle w:val="5"/>
              <w:numPr>
                <w:ilvl w:val="0"/>
                <w:numId w:val="6"/>
              </w:numPr>
              <w:tabs>
                <w:tab w:val="left" w:pos="720"/>
              </w:tabs>
              <w:ind w:left="0" w:leftChars="0" w:firstLine="0" w:firstLineChars="0"/>
              <w:jc w:val="both"/>
              <w:rPr>
                <w:rStyle w:val="25"/>
                <w:rFonts w:hint="eastAsia" w:ascii="宋体" w:hAnsi="宋体" w:eastAsia="宋体" w:cs="宋体"/>
                <w:b/>
                <w:bCs/>
                <w:color w:val="auto"/>
                <w:sz w:val="24"/>
                <w:szCs w:val="24"/>
              </w:rPr>
            </w:pPr>
            <w:bookmarkStart w:id="4" w:name="_Toc111365823"/>
            <w:r>
              <w:rPr>
                <w:rStyle w:val="25"/>
                <w:rFonts w:hint="eastAsia" w:ascii="宋体" w:hAnsi="宋体" w:eastAsia="宋体" w:cs="宋体"/>
                <w:b/>
                <w:bCs/>
                <w:color w:val="auto"/>
                <w:sz w:val="24"/>
                <w:szCs w:val="24"/>
              </w:rPr>
              <w:t>巡更终端</w:t>
            </w:r>
            <w:bookmarkEnd w:id="4"/>
          </w:p>
          <w:p>
            <w:pPr>
              <w:numPr>
                <w:ilvl w:val="0"/>
                <w:numId w:val="8"/>
              </w:numPr>
              <w:ind w:left="425" w:leftChars="0" w:hanging="425"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数量：</w:t>
            </w:r>
            <w:r>
              <w:rPr>
                <w:rFonts w:hint="eastAsia"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val="en-US" w:eastAsia="zh-CN"/>
              </w:rPr>
              <w:t>台；</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巡更专用，用于安装巡更app；</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系统：Android </w:t>
            </w:r>
            <w:r>
              <w:rPr>
                <w:rFonts w:hint="eastAsia" w:ascii="宋体" w:hAnsi="宋体" w:eastAsia="宋体" w:cs="宋体"/>
                <w:b w:val="0"/>
                <w:bCs w:val="0"/>
                <w:color w:val="000000"/>
                <w:sz w:val="24"/>
                <w:szCs w:val="24"/>
                <w:lang w:val="en-US" w:eastAsia="zh-CN"/>
              </w:rPr>
              <w:t>版本</w:t>
            </w:r>
            <w:r>
              <w:rPr>
                <w:rFonts w:hint="eastAsia" w:ascii="宋体" w:hAnsi="宋体" w:eastAsia="宋体" w:cs="宋体"/>
                <w:b w:val="0"/>
                <w:bCs w:val="0"/>
                <w:color w:val="000000"/>
                <w:sz w:val="24"/>
                <w:szCs w:val="24"/>
              </w:rPr>
              <w:t>≥10.0</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网络类型：支持Nano SIM, Nano SIM ，T-Flash卡；</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LCD尺寸/分辩率：TFT ≥5.45 HD IPS ≥720*1440；</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摄像头:前置≥500W像素,后置≥1300W+200W像素;</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电池容量:≥5000mAh</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防水等级:≥IP68</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触摸：电容屏,5点触控</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支持</w:t>
            </w:r>
            <w:r>
              <w:rPr>
                <w:rFonts w:hint="eastAsia" w:ascii="宋体" w:hAnsi="宋体" w:eastAsia="宋体" w:cs="宋体"/>
                <w:b w:val="0"/>
                <w:bCs w:val="0"/>
                <w:color w:val="000000"/>
                <w:sz w:val="24"/>
                <w:szCs w:val="24"/>
              </w:rPr>
              <w:t>蓝牙</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WIFI:802.11 a/b/g/n；支持WIFI热点</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支持NFC</w:t>
            </w:r>
            <w:r>
              <w:rPr>
                <w:rFonts w:hint="eastAsia" w:ascii="宋体" w:hAnsi="宋体" w:eastAsia="宋体" w:cs="宋体"/>
                <w:b w:val="0"/>
                <w:bCs w:val="0"/>
                <w:color w:val="000000"/>
                <w:sz w:val="24"/>
                <w:szCs w:val="24"/>
                <w:lang w:val="en-US" w:eastAsia="zh-CN"/>
              </w:rPr>
              <w:t>；</w:t>
            </w:r>
          </w:p>
          <w:p>
            <w:pPr>
              <w:numPr>
                <w:ilvl w:val="0"/>
                <w:numId w:val="8"/>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rPr>
              <w:t>流量卡自备</w:t>
            </w:r>
            <w:r>
              <w:rPr>
                <w:rFonts w:hint="eastAsia" w:ascii="宋体" w:hAnsi="宋体" w:eastAsia="宋体" w:cs="宋体"/>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53" w:type="dxa"/>
            <w:vAlign w:val="center"/>
          </w:tcPr>
          <w:p>
            <w:pPr>
              <w:numPr>
                <w:ilvl w:val="0"/>
                <w:numId w:val="0"/>
              </w:numPr>
              <w:rPr>
                <w:rFonts w:hint="eastAsia" w:ascii="宋体" w:hAnsi="宋体" w:eastAsia="宋体" w:cs="宋体"/>
                <w:b w:val="0"/>
                <w:bCs w:val="0"/>
                <w:sz w:val="24"/>
                <w:szCs w:val="24"/>
                <w:lang w:eastAsia="zh-CN"/>
              </w:rPr>
            </w:pPr>
            <w:r>
              <w:rPr>
                <w:rFonts w:hint="eastAsia" w:ascii="宋体" w:hAnsi="宋体"/>
                <w:szCs w:val="21"/>
              </w:rPr>
              <w:t>巡更软件</w:t>
            </w:r>
          </w:p>
        </w:tc>
        <w:tc>
          <w:tcPr>
            <w:tcW w:w="6805" w:type="dxa"/>
            <w:vAlign w:val="center"/>
          </w:tcPr>
          <w:p>
            <w:pPr>
              <w:numPr>
                <w:ilvl w:val="0"/>
                <w:numId w:val="9"/>
              </w:numPr>
              <w:ind w:left="425" w:leftChars="0" w:hanging="425" w:firstLineChars="0"/>
              <w:jc w:val="left"/>
              <w:rPr>
                <w:rFonts w:ascii="宋体" w:hAnsi="宋体"/>
                <w:szCs w:val="21"/>
              </w:rPr>
            </w:pPr>
            <w:r>
              <w:rPr>
                <w:rFonts w:hint="eastAsia" w:ascii="宋体" w:hAnsi="宋体"/>
                <w:szCs w:val="21"/>
              </w:rPr>
              <w:t>巡更点录入：支持当个/批量导入巡更点，可自定义巡更点名称</w:t>
            </w:r>
            <w:r>
              <w:rPr>
                <w:rFonts w:hint="eastAsia" w:ascii="宋体" w:hAnsi="宋体"/>
                <w:szCs w:val="21"/>
                <w:lang w:val="en-US" w:eastAsia="zh-CN"/>
              </w:rPr>
              <w:t>；</w:t>
            </w:r>
          </w:p>
          <w:p>
            <w:pPr>
              <w:numPr>
                <w:ilvl w:val="0"/>
                <w:numId w:val="9"/>
              </w:numPr>
              <w:ind w:left="425" w:leftChars="0" w:hanging="425" w:firstLineChars="0"/>
              <w:jc w:val="left"/>
              <w:rPr>
                <w:rFonts w:ascii="宋体" w:hAnsi="宋体"/>
                <w:szCs w:val="21"/>
              </w:rPr>
            </w:pPr>
            <w:r>
              <w:rPr>
                <w:rFonts w:hint="eastAsia" w:ascii="宋体" w:hAnsi="宋体"/>
                <w:szCs w:val="21"/>
              </w:rPr>
              <w:t>巡更路线：支持自主设定巡更路线</w:t>
            </w:r>
            <w:r>
              <w:rPr>
                <w:rFonts w:hint="eastAsia" w:ascii="宋体" w:hAnsi="宋体"/>
                <w:szCs w:val="21"/>
                <w:lang w:val="en-US" w:eastAsia="zh-CN"/>
              </w:rPr>
              <w:t>；</w:t>
            </w:r>
          </w:p>
          <w:p>
            <w:pPr>
              <w:numPr>
                <w:ilvl w:val="0"/>
                <w:numId w:val="9"/>
              </w:numPr>
              <w:ind w:left="425" w:leftChars="0" w:hanging="425" w:firstLineChars="0"/>
              <w:jc w:val="left"/>
              <w:rPr>
                <w:rFonts w:ascii="宋体" w:hAnsi="宋体"/>
                <w:szCs w:val="21"/>
              </w:rPr>
            </w:pPr>
            <w:r>
              <w:rPr>
                <w:rFonts w:hint="eastAsia" w:ascii="宋体" w:hAnsi="宋体"/>
                <w:szCs w:val="21"/>
              </w:rPr>
              <w:t>巡更人员及巡更小组设定：可通过巡更人员管理把人员姓名与巡更路线进行绑定</w:t>
            </w:r>
            <w:r>
              <w:rPr>
                <w:rFonts w:hint="eastAsia" w:ascii="宋体" w:hAnsi="宋体"/>
                <w:szCs w:val="21"/>
                <w:lang w:val="en-US" w:eastAsia="zh-CN"/>
              </w:rPr>
              <w:t>；</w:t>
            </w:r>
          </w:p>
          <w:p>
            <w:pPr>
              <w:numPr>
                <w:ilvl w:val="0"/>
                <w:numId w:val="9"/>
              </w:numPr>
              <w:ind w:left="425" w:leftChars="0" w:hanging="425" w:firstLineChars="0"/>
              <w:jc w:val="left"/>
              <w:rPr>
                <w:rFonts w:ascii="宋体" w:hAnsi="宋体"/>
                <w:szCs w:val="21"/>
              </w:rPr>
            </w:pPr>
            <w:r>
              <w:rPr>
                <w:rFonts w:hint="eastAsia" w:ascii="宋体" w:hAnsi="宋体"/>
                <w:szCs w:val="21"/>
              </w:rPr>
              <w:t>巡更计划：巡更计划设置是为每个巡更路线制定具体的巡更时间、班次</w:t>
            </w:r>
            <w:r>
              <w:rPr>
                <w:rFonts w:hint="eastAsia" w:ascii="宋体" w:hAnsi="宋体"/>
                <w:szCs w:val="21"/>
                <w:lang w:val="en-US" w:eastAsia="zh-CN"/>
              </w:rPr>
              <w:t>；</w:t>
            </w:r>
          </w:p>
          <w:p>
            <w:pPr>
              <w:numPr>
                <w:ilvl w:val="0"/>
                <w:numId w:val="9"/>
              </w:numPr>
              <w:ind w:left="425" w:leftChars="0" w:hanging="425" w:firstLineChars="0"/>
              <w:jc w:val="left"/>
              <w:rPr>
                <w:rFonts w:ascii="宋体" w:hAnsi="宋体"/>
                <w:szCs w:val="21"/>
              </w:rPr>
            </w:pPr>
            <w:r>
              <w:rPr>
                <w:rFonts w:hint="eastAsia" w:ascii="宋体" w:hAnsi="宋体"/>
                <w:szCs w:val="21"/>
              </w:rPr>
              <w:t>网络缓存：在医院网络不好的地方，可临时将巡更数据缓存，在有网络的区域及时将巡更数据上传</w:t>
            </w:r>
            <w:r>
              <w:rPr>
                <w:rFonts w:hint="eastAsia" w:ascii="宋体" w:hAnsi="宋体"/>
                <w:szCs w:val="21"/>
                <w:lang w:val="en-US" w:eastAsia="zh-CN"/>
              </w:rPr>
              <w:t>；</w:t>
            </w:r>
          </w:p>
          <w:p>
            <w:pPr>
              <w:numPr>
                <w:ilvl w:val="0"/>
                <w:numId w:val="9"/>
              </w:numPr>
              <w:ind w:left="425" w:leftChars="0" w:hanging="425" w:firstLineChars="0"/>
              <w:jc w:val="left"/>
              <w:rPr>
                <w:rFonts w:ascii="宋体" w:hAnsi="宋体"/>
                <w:szCs w:val="21"/>
              </w:rPr>
            </w:pPr>
            <w:r>
              <w:rPr>
                <w:rFonts w:hint="eastAsia" w:ascii="宋体" w:hAnsi="宋体"/>
                <w:szCs w:val="21"/>
              </w:rPr>
              <w:t>巡更数据统计：对所有巡更数据的查询，可将巡更数据转出供上级管理者审阅，同时也是作为考核巡更人员的重要依据</w:t>
            </w:r>
            <w:r>
              <w:rPr>
                <w:rFonts w:hint="eastAsia" w:ascii="宋体" w:hAnsi="宋体"/>
                <w:szCs w:val="21"/>
                <w:lang w:val="en-US" w:eastAsia="zh-CN"/>
              </w:rPr>
              <w:t>；</w:t>
            </w:r>
          </w:p>
          <w:p>
            <w:pPr>
              <w:numPr>
                <w:ilvl w:val="0"/>
                <w:numId w:val="9"/>
              </w:numPr>
              <w:ind w:left="425" w:leftChars="0" w:hanging="425" w:firstLineChars="0"/>
              <w:rPr>
                <w:rFonts w:hint="eastAsia" w:ascii="宋体" w:hAnsi="宋体" w:eastAsia="宋体" w:cs="宋体"/>
                <w:b w:val="0"/>
                <w:bCs w:val="0"/>
                <w:color w:val="000000"/>
                <w:sz w:val="24"/>
                <w:szCs w:val="24"/>
              </w:rPr>
            </w:pPr>
            <w:r>
              <w:rPr>
                <w:rFonts w:hint="eastAsia" w:ascii="宋体" w:hAnsi="宋体"/>
                <w:szCs w:val="21"/>
              </w:rPr>
              <w:t>巡更人员可通过a</w:t>
            </w:r>
            <w:r>
              <w:rPr>
                <w:rFonts w:ascii="宋体" w:hAnsi="宋体"/>
                <w:szCs w:val="21"/>
              </w:rPr>
              <w:t>pp</w:t>
            </w:r>
            <w:r>
              <w:rPr>
                <w:rFonts w:hint="eastAsia" w:ascii="宋体" w:hAnsi="宋体"/>
                <w:szCs w:val="21"/>
              </w:rPr>
              <w:t>实现日常巡更，并可通过app将异常问题拍照上传</w:t>
            </w:r>
            <w:r>
              <w:rPr>
                <w:rFonts w:hint="eastAsia" w:ascii="宋体" w:hAnsi="宋体"/>
                <w:szCs w:val="21"/>
                <w:lang w:eastAsia="zh-CN"/>
              </w:rPr>
              <w:t>。</w:t>
            </w:r>
          </w:p>
        </w:tc>
      </w:tr>
    </w:tbl>
    <w:p>
      <w:pPr>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2"/>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vAlign w:val="top"/>
          </w:tcPr>
          <w:p>
            <w:pPr>
              <w:rPr>
                <w:rFonts w:hint="eastAsia" w:asciiTheme="minorAscii" w:hAnsiTheme="minorAscii" w:eastAsiaTheme="minorEastAsia" w:cstheme="minorBidi"/>
                <w:kern w:val="2"/>
                <w:sz w:val="24"/>
                <w:szCs w:val="24"/>
                <w:lang w:val="en-US" w:eastAsia="zh-CN" w:bidi="ar-SA"/>
              </w:rPr>
            </w:pPr>
            <w:r>
              <w:t>标的</w:t>
            </w:r>
            <w:r>
              <w:rPr>
                <w:rFonts w:hint="eastAsia"/>
                <w:lang w:val="en-US" w:eastAsia="zh-CN"/>
              </w:rPr>
              <w:t>完成</w:t>
            </w:r>
            <w:r>
              <w:t>时间</w:t>
            </w:r>
          </w:p>
        </w:tc>
        <w:tc>
          <w:tcPr>
            <w:tcW w:w="3871" w:type="pct"/>
            <w:vAlign w:val="top"/>
          </w:tcPr>
          <w:p>
            <w:pPr>
              <w:rPr>
                <w:rFonts w:hint="default" w:asciiTheme="minorAscii" w:hAnsiTheme="minorAscii" w:eastAsiaTheme="minorEastAsia" w:cstheme="minorBidi"/>
                <w:kern w:val="2"/>
                <w:sz w:val="24"/>
                <w:szCs w:val="24"/>
                <w:lang w:val="en-US" w:eastAsia="zh-CN" w:bidi="ar-SA"/>
              </w:rPr>
            </w:pPr>
            <w:r>
              <w:t>自合同签订之日起</w:t>
            </w:r>
            <w:r>
              <w:rPr>
                <w:rFonts w:hint="eastAsia"/>
                <w:lang w:val="en-US" w:eastAsia="zh-CN"/>
              </w:rPr>
              <w:t>2日内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71"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验收标准</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按系统功能要求及设备参数要求验收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标的完成通过终验后，2个月内支付服务款项80%，验收1年后付20%。</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招标方式：竞争性谈判。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19日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numPr>
          <w:ilvl w:val="0"/>
          <w:numId w:val="10"/>
        </w:numPr>
        <w:bidi w:val="0"/>
        <w:jc w:val="center"/>
        <w:rPr>
          <w:rFonts w:hint="eastAsia"/>
          <w:lang w:val="en-US" w:eastAsia="zh-CN"/>
        </w:rPr>
      </w:pPr>
      <w:r>
        <w:rPr>
          <w:rFonts w:hint="eastAsia"/>
          <w:lang w:val="en-US" w:eastAsia="zh-CN"/>
        </w:rPr>
        <w:t>竞争性谈判响应文件</w:t>
      </w:r>
    </w:p>
    <w:p>
      <w:pPr>
        <w:pStyle w:val="4"/>
        <w:numPr>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丹阳市人民医院巡更系统</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DRY-CG-2022035</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5"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11"/>
        </w:numPr>
        <w:spacing w:line="360" w:lineRule="auto"/>
        <w:ind w:left="60" w:leftChars="0" w:firstLine="420" w:firstLineChars="0"/>
        <w:rPr>
          <w:sz w:val="28"/>
          <w:szCs w:val="28"/>
        </w:rPr>
      </w:pPr>
      <w:r>
        <w:rPr>
          <w:sz w:val="28"/>
          <w:szCs w:val="28"/>
        </w:rPr>
        <w:t>投标函</w:t>
      </w:r>
    </w:p>
    <w:p>
      <w:pPr>
        <w:numPr>
          <w:ilvl w:val="0"/>
          <w:numId w:val="11"/>
        </w:numPr>
        <w:spacing w:line="360" w:lineRule="auto"/>
        <w:ind w:left="60" w:leftChars="0" w:firstLine="420" w:firstLineChars="0"/>
        <w:rPr>
          <w:sz w:val="28"/>
          <w:szCs w:val="28"/>
        </w:rPr>
      </w:pPr>
      <w:r>
        <w:rPr>
          <w:sz w:val="28"/>
          <w:szCs w:val="28"/>
        </w:rPr>
        <w:t>开标一览表</w:t>
      </w:r>
    </w:p>
    <w:p>
      <w:pPr>
        <w:pStyle w:val="2"/>
        <w:numPr>
          <w:ilvl w:val="0"/>
          <w:numId w:val="11"/>
        </w:numPr>
        <w:ind w:left="60" w:leftChars="0" w:firstLine="420" w:firstLineChars="0"/>
        <w:rPr>
          <w:rFonts w:hint="default" w:asciiTheme="minorAscii" w:hAnsiTheme="minorAscii" w:eastAsiaTheme="minorEastAsia" w:cstheme="minorBidi"/>
          <w:kern w:val="2"/>
          <w:sz w:val="28"/>
          <w:szCs w:val="28"/>
          <w:lang w:val="en-US" w:eastAsia="zh-CN" w:bidi="ar-SA"/>
        </w:rPr>
      </w:pPr>
      <w:r>
        <w:rPr>
          <w:rFonts w:hint="eastAsia" w:asciiTheme="minorAscii" w:hAnsiTheme="minorAscii" w:eastAsiaTheme="minorEastAsia" w:cstheme="minorBidi"/>
          <w:kern w:val="2"/>
          <w:sz w:val="28"/>
          <w:szCs w:val="28"/>
          <w:lang w:val="en-US" w:eastAsia="zh-CN" w:bidi="ar-SA"/>
        </w:rPr>
        <w:t>分项报价表</w:t>
      </w:r>
    </w:p>
    <w:p>
      <w:pPr>
        <w:numPr>
          <w:ilvl w:val="0"/>
          <w:numId w:val="11"/>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11"/>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11"/>
        </w:numPr>
        <w:spacing w:line="360" w:lineRule="auto"/>
        <w:ind w:left="60" w:leftChars="0" w:firstLine="420" w:firstLineChars="0"/>
        <w:rPr>
          <w:sz w:val="28"/>
          <w:szCs w:val="28"/>
        </w:rPr>
      </w:pPr>
      <w:r>
        <w:rPr>
          <w:rFonts w:hint="eastAsia"/>
          <w:sz w:val="28"/>
          <w:szCs w:val="28"/>
        </w:rPr>
        <w:t>资格审查资料</w:t>
      </w:r>
    </w:p>
    <w:p>
      <w:pPr>
        <w:numPr>
          <w:ilvl w:val="0"/>
          <w:numId w:val="11"/>
        </w:numPr>
        <w:spacing w:line="360" w:lineRule="auto"/>
        <w:ind w:left="6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11"/>
        </w:numPr>
        <w:spacing w:line="360" w:lineRule="auto"/>
        <w:ind w:left="6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11"/>
        </w:numPr>
        <w:spacing w:line="360" w:lineRule="auto"/>
        <w:ind w:left="6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5"/>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u w:val="single"/>
          <w:lang w:val="en-US" w:eastAsia="zh-CN"/>
        </w:rPr>
        <w:t>丹阳市人民医院巡更系统</w:t>
      </w:r>
      <w:r>
        <w:rPr>
          <w:rFonts w:hint="eastAsia" w:ascii="宋体" w:hAnsi="宋体" w:eastAsia="宋体" w:cs="宋体"/>
          <w:sz w:val="24"/>
          <w:szCs w:val="24"/>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丹阳市人民医院巡更系统</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6" w:name="_Toc26951"/>
      <w:r>
        <w:rPr>
          <w:rFonts w:hint="eastAsia" w:ascii="宋体" w:hAnsi="宋体" w:eastAsia="宋体" w:cs="宋体"/>
          <w:b/>
          <w:bCs/>
          <w:color w:val="000000"/>
          <w:sz w:val="24"/>
          <w:szCs w:val="24"/>
          <w:lang w:val="en-US" w:eastAsia="zh-CN"/>
        </w:rPr>
        <w:br w:type="page"/>
      </w:r>
    </w:p>
    <w:p>
      <w:pPr>
        <w:pStyle w:val="5"/>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2"/>
        <w:tblW w:w="52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0"/>
        <w:gridCol w:w="1489"/>
        <w:gridCol w:w="566"/>
        <w:gridCol w:w="900"/>
        <w:gridCol w:w="1500"/>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NFC巡更点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点</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巡更终端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巡更软件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4、报价保留至小数点后两位，四舍五入。</w:t>
      </w: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ascii="宋体" w:hAnsi="宋体" w:eastAsia="宋体" w:cs="宋体"/>
          <w:b/>
          <w:bCs/>
          <w:color w:val="000000"/>
          <w:sz w:val="24"/>
          <w:szCs w:val="24"/>
          <w:lang w:val="en-US" w:eastAsia="zh-CN"/>
        </w:rPr>
      </w:pPr>
    </w:p>
    <w:p>
      <w:pPr>
        <w:pStyle w:val="5"/>
        <w:bidi w:val="0"/>
        <w:ind w:left="0" w:leftChars="0" w:firstLine="0" w:firstLineChars="0"/>
        <w:rPr>
          <w:rFonts w:hint="eastAsia"/>
          <w:lang w:val="en-US" w:eastAsia="zh-CN"/>
        </w:rPr>
      </w:pPr>
      <w:r>
        <w:rPr>
          <w:rFonts w:hint="eastAsia"/>
        </w:rPr>
        <w:t>法定代表人身份证明</w:t>
      </w:r>
      <w:bookmarkEnd w:id="6"/>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7"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7"/>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8" w:name="_Toc431"/>
    </w:p>
    <w:p>
      <w:pPr>
        <w:pStyle w:val="5"/>
        <w:bidi w:val="0"/>
        <w:rPr>
          <w:rFonts w:hint="eastAsia"/>
        </w:rPr>
      </w:pPr>
      <w:r>
        <w:rPr>
          <w:rFonts w:hint="eastAsia"/>
        </w:rPr>
        <w:t>资格审查资料</w:t>
      </w:r>
      <w:bookmarkEnd w:id="8"/>
    </w:p>
    <w:p>
      <w:pPr>
        <w:pStyle w:val="7"/>
        <w:numPr>
          <w:ilvl w:val="0"/>
          <w:numId w:val="12"/>
        </w:numPr>
        <w:ind w:left="-300" w:leftChars="0" w:firstLine="0" w:firstLineChars="0"/>
        <w:jc w:val="center"/>
        <w:outlineLvl w:val="2"/>
        <w:rPr>
          <w:rFonts w:hint="eastAsia" w:ascii="宋体" w:hAnsi="宋体" w:eastAsia="宋体" w:cs="宋体"/>
          <w:sz w:val="24"/>
          <w:szCs w:val="24"/>
        </w:rPr>
      </w:pPr>
      <w:bookmarkStart w:id="9"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9"/>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10"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11"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13"/>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11"/>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bookmarkStart w:id="13" w:name="_GoBack"/>
      <w:bookmarkEnd w:id="13"/>
    </w:p>
    <w:p>
      <w:pPr>
        <w:numPr>
          <w:ilvl w:val="0"/>
          <w:numId w:val="13"/>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r>
        <w:rPr>
          <w:rFonts w:hint="eastAsia" w:ascii="宋体" w:hAnsi="宋体" w:eastAsia="宋体" w:cs="宋体"/>
          <w:b/>
          <w:bCs/>
          <w:color w:val="000000"/>
          <w:kern w:val="0"/>
          <w:sz w:val="32"/>
          <w:szCs w:val="32"/>
          <w:lang w:val="en-US" w:eastAsia="zh-CN" w:bidi="ar"/>
        </w:rPr>
        <w:t>特定的资格证明材料</w:t>
      </w:r>
    </w:p>
    <w:p>
      <w:pPr>
        <w:pStyle w:val="2"/>
        <w:rPr>
          <w:rFonts w:hint="eastAsia"/>
          <w:lang w:val="en-US" w:eastAsia="zh-CN"/>
        </w:rPr>
      </w:pPr>
    </w:p>
    <w:p>
      <w:pPr>
        <w:widowControl/>
        <w:numPr>
          <w:ilvl w:val="0"/>
          <w:numId w:val="13"/>
        </w:numPr>
        <w:ind w:left="425" w:leftChars="0" w:hanging="425" w:firstLineChars="0"/>
        <w:jc w:val="center"/>
        <w:outlineLvl w:val="4"/>
        <w:rPr>
          <w:rFonts w:hint="eastAsia" w:ascii="宋体" w:hAnsi="宋体" w:eastAsia="宋体" w:cs="宋体"/>
          <w:b/>
          <w:bCs/>
          <w:color w:val="000000"/>
          <w:kern w:val="0"/>
          <w:sz w:val="32"/>
          <w:szCs w:val="32"/>
          <w:lang w:bidi="ar"/>
        </w:rPr>
      </w:pPr>
      <w:bookmarkStart w:id="12"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12"/>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10"/>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4"/>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4"/>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4"/>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4"/>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3">
    <w:nsid w:val="FA93FC29"/>
    <w:multiLevelType w:val="singleLevel"/>
    <w:tmpl w:val="FA93FC29"/>
    <w:lvl w:ilvl="0" w:tentative="0">
      <w:start w:val="1"/>
      <w:numFmt w:val="decimal"/>
      <w:lvlText w:val="%1."/>
      <w:lvlJc w:val="left"/>
      <w:pPr>
        <w:ind w:left="425" w:hanging="425"/>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6">
    <w:nsid w:val="1B75818D"/>
    <w:multiLevelType w:val="singleLevel"/>
    <w:tmpl w:val="1B75818D"/>
    <w:lvl w:ilvl="0" w:tentative="0">
      <w:start w:val="1"/>
      <w:numFmt w:val="decimal"/>
      <w:lvlText w:val="%1."/>
      <w:lvlJc w:val="left"/>
      <w:pPr>
        <w:ind w:left="425" w:hanging="425"/>
      </w:pPr>
      <w:rPr>
        <w:rFonts w:hint="default"/>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7906CC8"/>
    <w:multiLevelType w:val="singleLevel"/>
    <w:tmpl w:val="37906CC8"/>
    <w:lvl w:ilvl="0" w:tentative="0">
      <w:start w:val="1"/>
      <w:numFmt w:val="decimal"/>
      <w:lvlText w:val="(%1)"/>
      <w:lvlJc w:val="left"/>
      <w:pPr>
        <w:ind w:left="425" w:hanging="425"/>
      </w:pPr>
      <w:rPr>
        <w:rFonts w:hint="default"/>
      </w:rPr>
    </w:lvl>
  </w:abstractNum>
  <w:abstractNum w:abstractNumId="9">
    <w:nsid w:val="3E739AAB"/>
    <w:multiLevelType w:val="singleLevel"/>
    <w:tmpl w:val="3E739AAB"/>
    <w:lvl w:ilvl="0" w:tentative="0">
      <w:start w:val="1"/>
      <w:numFmt w:val="decimal"/>
      <w:suff w:val="space"/>
      <w:lvlText w:val="%1."/>
      <w:lvlJc w:val="left"/>
    </w:lvl>
  </w:abstractNum>
  <w:abstractNum w:abstractNumId="10">
    <w:nsid w:val="4B14DE21"/>
    <w:multiLevelType w:val="singleLevel"/>
    <w:tmpl w:val="4B14DE21"/>
    <w:lvl w:ilvl="0" w:tentative="0">
      <w:start w:val="1"/>
      <w:numFmt w:val="decimal"/>
      <w:lvlText w:val="%1."/>
      <w:lvlJc w:val="left"/>
      <w:pPr>
        <w:ind w:left="425" w:hanging="425"/>
      </w:pPr>
      <w:rPr>
        <w:rFonts w:hint="default"/>
      </w:rPr>
    </w:lvl>
  </w:abstractNum>
  <w:abstractNum w:abstractNumId="11">
    <w:nsid w:val="501AD678"/>
    <w:multiLevelType w:val="singleLevel"/>
    <w:tmpl w:val="501AD678"/>
    <w:lvl w:ilvl="0" w:tentative="0">
      <w:start w:val="1"/>
      <w:numFmt w:val="decimal"/>
      <w:lvlText w:val="(%1)"/>
      <w:lvlJc w:val="left"/>
      <w:pPr>
        <w:ind w:left="425" w:hanging="425"/>
      </w:pPr>
      <w:rPr>
        <w:rFonts w:hint="default"/>
      </w:rPr>
    </w:lvl>
  </w:abstractNum>
  <w:abstractNum w:abstractNumId="12">
    <w:nsid w:val="5E8B3692"/>
    <w:multiLevelType w:val="singleLevel"/>
    <w:tmpl w:val="5E8B3692"/>
    <w:lvl w:ilvl="0" w:tentative="0">
      <w:start w:val="2"/>
      <w:numFmt w:val="chineseCounting"/>
      <w:suff w:val="space"/>
      <w:lvlText w:val="第%1部分"/>
      <w:lvlJc w:val="left"/>
      <w:rPr>
        <w:rFonts w:hint="eastAsia"/>
      </w:rPr>
    </w:lvl>
  </w:abstractNum>
  <w:abstractNum w:abstractNumId="13">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13"/>
  </w:num>
  <w:num w:numId="3">
    <w:abstractNumId w:val="3"/>
  </w:num>
  <w:num w:numId="4">
    <w:abstractNumId w:val="10"/>
  </w:num>
  <w:num w:numId="5">
    <w:abstractNumId w:val="1"/>
  </w:num>
  <w:num w:numId="6">
    <w:abstractNumId w:val="9"/>
  </w:num>
  <w:num w:numId="7">
    <w:abstractNumId w:val="11"/>
  </w:num>
  <w:num w:numId="8">
    <w:abstractNumId w:val="8"/>
  </w:num>
  <w:num w:numId="9">
    <w:abstractNumId w:val="6"/>
  </w:num>
  <w:num w:numId="10">
    <w:abstractNumId w:val="12"/>
  </w:num>
  <w:num w:numId="11">
    <w:abstractNumId w:val="5"/>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F26ABB"/>
    <w:rsid w:val="020C60B9"/>
    <w:rsid w:val="03E21792"/>
    <w:rsid w:val="06764670"/>
    <w:rsid w:val="07FE06AB"/>
    <w:rsid w:val="09866516"/>
    <w:rsid w:val="0A9D40DA"/>
    <w:rsid w:val="0EE06CD3"/>
    <w:rsid w:val="102B4611"/>
    <w:rsid w:val="113B1F5B"/>
    <w:rsid w:val="1194561C"/>
    <w:rsid w:val="120B6411"/>
    <w:rsid w:val="145D3A41"/>
    <w:rsid w:val="15FA6724"/>
    <w:rsid w:val="18C96E59"/>
    <w:rsid w:val="19561905"/>
    <w:rsid w:val="19FD6EB2"/>
    <w:rsid w:val="1C4B04E6"/>
    <w:rsid w:val="1CA23A42"/>
    <w:rsid w:val="22D71934"/>
    <w:rsid w:val="22D96306"/>
    <w:rsid w:val="24336907"/>
    <w:rsid w:val="262B318B"/>
    <w:rsid w:val="276E1D48"/>
    <w:rsid w:val="28E074A9"/>
    <w:rsid w:val="296C6FA3"/>
    <w:rsid w:val="2BD93A74"/>
    <w:rsid w:val="30E604FD"/>
    <w:rsid w:val="36FE1AC6"/>
    <w:rsid w:val="37EC5DE5"/>
    <w:rsid w:val="3BEA250F"/>
    <w:rsid w:val="3C536950"/>
    <w:rsid w:val="3E003EAC"/>
    <w:rsid w:val="3FA24DAB"/>
    <w:rsid w:val="417B62AD"/>
    <w:rsid w:val="42891F7B"/>
    <w:rsid w:val="44CB2902"/>
    <w:rsid w:val="46FF778E"/>
    <w:rsid w:val="48DA439B"/>
    <w:rsid w:val="493B71B0"/>
    <w:rsid w:val="4C5657EF"/>
    <w:rsid w:val="50D20159"/>
    <w:rsid w:val="532E5A00"/>
    <w:rsid w:val="53935BBC"/>
    <w:rsid w:val="53BD42D4"/>
    <w:rsid w:val="57941C7C"/>
    <w:rsid w:val="5937218D"/>
    <w:rsid w:val="5F373910"/>
    <w:rsid w:val="616C4AAF"/>
    <w:rsid w:val="61A429DB"/>
    <w:rsid w:val="61A7459C"/>
    <w:rsid w:val="631269C6"/>
    <w:rsid w:val="63CC03B5"/>
    <w:rsid w:val="64E4442F"/>
    <w:rsid w:val="669021AE"/>
    <w:rsid w:val="67BC2E06"/>
    <w:rsid w:val="6AFF0A3C"/>
    <w:rsid w:val="6B1D41C1"/>
    <w:rsid w:val="6B4C4198"/>
    <w:rsid w:val="6F940589"/>
    <w:rsid w:val="70C65593"/>
    <w:rsid w:val="714A3777"/>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6"/>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3 Char"/>
    <w:link w:val="5"/>
    <w:qFormat/>
    <w:uiPriority w:val="0"/>
    <w:rPr>
      <w:rFonts w:eastAsiaTheme="minorEastAsia"/>
      <w:b/>
      <w:sz w:val="28"/>
    </w:r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 w:type="paragraph" w:customStyle="1" w:styleId="24">
    <w:name w:val="列表段落1"/>
    <w:basedOn w:val="1"/>
    <w:qFormat/>
    <w:uiPriority w:val="99"/>
    <w:pPr>
      <w:autoSpaceDE w:val="0"/>
      <w:autoSpaceDN w:val="0"/>
      <w:ind w:left="1960" w:hanging="420"/>
      <w:jc w:val="left"/>
    </w:pPr>
    <w:rPr>
      <w:rFonts w:ascii="PMingLiU" w:hAnsi="PMingLiU" w:eastAsia="PMingLiU" w:cs="PMingLiU"/>
      <w:kern w:val="0"/>
      <w:sz w:val="22"/>
      <w:szCs w:val="22"/>
      <w:lang w:eastAsia="en-US"/>
    </w:rPr>
  </w:style>
  <w:style w:type="character" w:customStyle="1" w:styleId="25">
    <w:name w:val="font121"/>
    <w:qFormat/>
    <w:uiPriority w:val="0"/>
    <w:rPr>
      <w:rFonts w:hint="eastAsia" w:ascii="微软雅黑" w:hAnsi="微软雅黑" w:eastAsia="微软雅黑" w:cs="微软雅黑"/>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4564</Words>
  <Characters>4843</Characters>
  <Lines>0</Lines>
  <Paragraphs>0</Paragraphs>
  <TotalTime>84</TotalTime>
  <ScaleCrop>false</ScaleCrop>
  <LinksUpToDate>false</LinksUpToDate>
  <CharactersWithSpaces>5887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2022-08-19T13:33:00Z</cp:lastPrinted>
  <dcterms:modified xsi:type="dcterms:W3CDTF">2022-08-25T08:43:58Z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CEA79650D32446E88C9207D63932CF33</vt:lpwstr>
  </property>
</Properties>
</file>