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丹阳市人民医院氨氮在线监测试剂采购需求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名称：丹阳市人民医院氨氮在线监测试剂采购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3003；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48000元。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10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17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</w:rPr>
        <w:t xml:space="preserve">1. 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2"/>
        </w:numPr>
        <w:spacing w:line="360" w:lineRule="auto"/>
      </w:pPr>
      <w:r>
        <w:rPr>
          <w:b/>
        </w:rPr>
        <w:t>本项目特定的资格要求：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22"/>
        <w:numPr>
          <w:ilvl w:val="0"/>
          <w:numId w:val="3"/>
        </w:numPr>
        <w:ind w:left="0" w:leftChars="0" w:firstLine="0" w:firstLineChars="0"/>
      </w:pPr>
      <w:r>
        <w:rPr>
          <w:rFonts w:hint="eastAsia" w:ascii="宋体" w:hAnsi="宋体" w:cs="宋体"/>
        </w:rPr>
        <w:t>营业范围包含污水处理药剂或化学试剂类经营项目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"/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r>
        <w:rPr>
          <w:rFonts w:hint="eastAsia"/>
        </w:rPr>
        <w:t>1. 采购清单如下表：</w:t>
      </w:r>
    </w:p>
    <w:tbl>
      <w:tblPr>
        <w:tblStyle w:val="18"/>
        <w:tblpPr w:leftFromText="180" w:rightFromText="180" w:vertAnchor="text" w:horzAnchor="page" w:tblpXSpec="center" w:tblpY="295"/>
        <w:tblOverlap w:val="never"/>
        <w:tblW w:w="7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204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氨氮在线监测试剂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lang w:bidi="ar"/>
              </w:rPr>
              <w:t>36</w:t>
            </w:r>
          </w:p>
        </w:tc>
      </w:tr>
    </w:tbl>
    <w:p/>
    <w:p>
      <w:pPr>
        <w:pStyle w:val="6"/>
        <w:numPr>
          <w:ilvl w:val="3"/>
          <w:numId w:val="0"/>
        </w:numPr>
        <w:spacing w:line="360" w:lineRule="auto"/>
        <w:ind w:leftChars="0"/>
        <w:jc w:val="left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技术要求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.1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氨氮试剂数据检测合格率大于等于99%</w:t>
      </w:r>
      <w:bookmarkStart w:id="8" w:name="_GoBack"/>
      <w:bookmarkEnd w:id="8"/>
      <w:r>
        <w:rPr>
          <w:rFonts w:hint="eastAsia" w:ascii="宋体" w:hAnsi="宋体" w:cs="宋体"/>
        </w:rPr>
        <w:t xml:space="preserve">。 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按要求存放情况下，有效期不得低于30</w:t>
      </w:r>
      <w:r>
        <w:rPr>
          <w:rFonts w:hint="eastAsia" w:ascii="宋体" w:hAnsi="宋体" w:cs="宋体"/>
          <w:lang w:eastAsia="zh-CN"/>
        </w:rPr>
        <w:t>日</w:t>
      </w:r>
      <w:r>
        <w:rPr>
          <w:rFonts w:hint="eastAsia" w:ascii="宋体" w:hAnsi="宋体" w:cs="宋体"/>
        </w:rPr>
        <w:t>。</w:t>
      </w:r>
    </w:p>
    <w:p>
      <w:pPr>
        <w:pStyle w:val="22"/>
        <w:spacing w:line="360" w:lineRule="auto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5.3 每套试剂需保证不低于每天检测24次、连续检测10天的使用量。</w:t>
      </w:r>
    </w:p>
    <w:p>
      <w:pPr>
        <w:pStyle w:val="22"/>
        <w:spacing w:line="360" w:lineRule="auto"/>
        <w:ind w:left="0" w:leftChars="0" w:firstLine="0" w:firstLineChars="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5.4 每套试剂需包含一瓶效期内的10mg/L的氨氮标准溶液。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注：如需现场勘察请联系彭先生，联系电话：13952831345。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标的完成通过终验后，2个月内支付货款。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</w:rPr>
        <w:t>丹阳市人民医院氨氮在线监测试剂采购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DRY-CG-202300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 xml:space="preserve">3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宋体" w:asciiTheme="minorHAnsi" w:hAnsiTheme="minorHAnsi" w:cstheme="minorBidi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 w:eastAsia="宋体" w:asciiTheme="minorHAnsi" w:hAnsiTheme="minorHAnsi" w:cstheme="minorBidi"/>
          <w:kern w:val="2"/>
          <w:sz w:val="28"/>
          <w:szCs w:val="28"/>
          <w:lang w:val="en-US" w:eastAsia="zh-CN" w:bidi="ar-SA"/>
        </w:rPr>
        <w:t>我方己仔细研究了</w:t>
      </w:r>
      <w:r>
        <w:rPr>
          <w:rFonts w:hint="eastAsia" w:eastAsia="宋体" w:asciiTheme="minorHAnsi" w:hAnsiTheme="minorHAnsi" w:cstheme="minorBidi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eastAsia="宋体" w:asciiTheme="minorHAnsi" w:hAnsiTheme="minorHAnsi" w:cstheme="minorBidi"/>
          <w:kern w:val="2"/>
          <w:sz w:val="28"/>
          <w:szCs w:val="28"/>
          <w:u w:val="single"/>
          <w:lang w:val="en-US" w:eastAsia="zh-CN" w:bidi="ar-SA"/>
        </w:rPr>
        <w:t>丹阳市人民医院氨氮在线监测试剂采购</w:t>
      </w:r>
    </w:p>
    <w:p>
      <w:pPr>
        <w:jc w:val="left"/>
        <w:rPr>
          <w:sz w:val="28"/>
          <w:szCs w:val="28"/>
        </w:rPr>
      </w:pPr>
      <w:r>
        <w:rPr>
          <w:rFonts w:hint="eastAsia" w:eastAsia="宋体" w:asciiTheme="minorHAnsi" w:hAnsiTheme="minorHAnsi" w:cstheme="minorBidi"/>
          <w:kern w:val="2"/>
          <w:sz w:val="28"/>
          <w:szCs w:val="28"/>
          <w:lang w:val="en-US" w:eastAsia="zh-CN" w:bidi="ar-SA"/>
        </w:rPr>
        <w:t>招标文件的全部内容，愿意以人民币</w:t>
      </w:r>
      <w:r>
        <w:rPr>
          <w:rFonts w:hint="eastAsia"/>
          <w:sz w:val="28"/>
          <w:szCs w:val="28"/>
        </w:rPr>
        <w:t>（大写）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丹阳市人民医院氨氮在线监测试剂采购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494"/>
        <w:gridCol w:w="1283"/>
        <w:gridCol w:w="1317"/>
        <w:gridCol w:w="2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氨氮在线监测试剂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4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总价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C67D58A8"/>
    <w:multiLevelType w:val="singleLevel"/>
    <w:tmpl w:val="C67D58A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WU1Yjg5YmZhMGFmMGYzZmE2MGViYjllNTM2MTA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2BF0358"/>
    <w:rsid w:val="04425FE9"/>
    <w:rsid w:val="061439B5"/>
    <w:rsid w:val="09294C09"/>
    <w:rsid w:val="0B1F5EC8"/>
    <w:rsid w:val="0D3E3974"/>
    <w:rsid w:val="0D5F7C0C"/>
    <w:rsid w:val="0EFC0FC2"/>
    <w:rsid w:val="112D72E7"/>
    <w:rsid w:val="149633B3"/>
    <w:rsid w:val="14C14790"/>
    <w:rsid w:val="17166BB7"/>
    <w:rsid w:val="19A2414E"/>
    <w:rsid w:val="1B50464C"/>
    <w:rsid w:val="1B592166"/>
    <w:rsid w:val="1E5D3CF4"/>
    <w:rsid w:val="21AB121A"/>
    <w:rsid w:val="25212EA4"/>
    <w:rsid w:val="27AF7F38"/>
    <w:rsid w:val="2B1167EC"/>
    <w:rsid w:val="2BAB28CF"/>
    <w:rsid w:val="2EBD19FE"/>
    <w:rsid w:val="309B756E"/>
    <w:rsid w:val="30F96FE4"/>
    <w:rsid w:val="32346F6E"/>
    <w:rsid w:val="33217710"/>
    <w:rsid w:val="356824AE"/>
    <w:rsid w:val="36FE4E33"/>
    <w:rsid w:val="37415068"/>
    <w:rsid w:val="38483D77"/>
    <w:rsid w:val="3989585D"/>
    <w:rsid w:val="3F0E37CA"/>
    <w:rsid w:val="3F48163C"/>
    <w:rsid w:val="407777C7"/>
    <w:rsid w:val="40C1324F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8DD3FB8"/>
    <w:rsid w:val="59705FB7"/>
    <w:rsid w:val="59F24396"/>
    <w:rsid w:val="5A0D01D8"/>
    <w:rsid w:val="5A46358F"/>
    <w:rsid w:val="5B376630"/>
    <w:rsid w:val="5BAB74D2"/>
    <w:rsid w:val="61091B6E"/>
    <w:rsid w:val="647C797D"/>
    <w:rsid w:val="69DC2875"/>
    <w:rsid w:val="6B814C60"/>
    <w:rsid w:val="6D5B386F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3058</Words>
  <Characters>3202</Characters>
  <Lines>24</Lines>
  <Paragraphs>6</Paragraphs>
  <TotalTime>8</TotalTime>
  <ScaleCrop>false</ScaleCrop>
  <LinksUpToDate>false</LinksUpToDate>
  <CharactersWithSpaces>4228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2023-02-07T01:55:00Z</cp:lastPrinted>
  <dcterms:modified xsi:type="dcterms:W3CDTF">2023-02-09T07:28:23Z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34F2F62CF6434A28BA69F5E3D11F8C42</vt:lpwstr>
  </property>
</Properties>
</file>