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丹阳市人民医院零工定价招标方案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为加强院内零工管理，确定零工单价，规范零工服务标准，制定本零工招标方案。</w:t>
      </w:r>
    </w:p>
    <w:p>
      <w:pPr>
        <w:pStyle w:val="4"/>
        <w:numPr>
          <w:ilvl w:val="3"/>
          <w:numId w:val="0"/>
        </w:numPr>
        <w:bidi w:val="0"/>
        <w:ind w:leftChars="0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、项目概况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（1）项目所在地：江苏省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丹阳市云阳镇新民西路2号。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（2）本项目包括：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包1：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零星土建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装饰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类。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包2：水暖、管道等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维修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与安装类。</w:t>
      </w:r>
    </w:p>
    <w:p>
      <w:pPr>
        <w:pStyle w:val="11"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包3：五金维修制作类。</w:t>
      </w:r>
    </w:p>
    <w:p>
      <w:pPr>
        <w:pStyle w:val="11"/>
        <w:spacing w:line="24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包4：搬运类。</w:t>
      </w:r>
    </w:p>
    <w:p>
      <w:pPr>
        <w:pStyle w:val="11"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包1，包2，包3，包4分别投标，同一投标人可以兼报多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个分包项目。</w:t>
      </w:r>
    </w:p>
    <w:p>
      <w:pPr>
        <w:pStyle w:val="11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DRY-CG-2023001。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零工类型：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土建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装饰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类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1）地砖、墙砖等维修与更换；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2）乳胶漆修补、出新；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3）墙板、集成吊顶等维修与更换；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4）砖墙砌筑、轻钢龙骨石膏板隔墙吊顶、钢结构彩钢板、医用洁净板隔墙等相关工程施工；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5）院内道路修补；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6）防水层制作修补；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7）窨井清理，维修；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8）总务科指派的应急性工作；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9）未能完全说明且院内确无专职人员的维修项目；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（2）暖通管道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维修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与安装类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1）吊顶及地埋管道维修、焊接、更换、加固；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2）水泵及轴承的维修、维护；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3）自控系统维修（电工无法完成的）；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4）工程量较大的电源线、给排水管道铺设；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总务科指派的应急性工作；</w:t>
      </w:r>
    </w:p>
    <w:p>
      <w:pPr>
        <w:pStyle w:val="11"/>
        <w:ind w:left="0" w:leftChars="0" w:firstLine="240" w:firstLineChars="100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6）未能完全说明且院内确无专职人员的维修项目；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（3）五金维修、制作类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1）不锈钢、铝合金、钢质门等制品的制作安装与维修；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2）窗户、窗纱、玻璃的维修与更换；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总务科指派的应急性工作；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4）未能完全说明且院内确无专职人员的维修项目；</w:t>
      </w:r>
    </w:p>
    <w:p>
      <w:pPr>
        <w:pStyle w:val="11"/>
        <w:ind w:left="0" w:leftChars="0" w:firstLine="0" w:firstLineChars="0"/>
        <w:rPr>
          <w:rFonts w:hint="default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（4）搬运类</w:t>
      </w:r>
    </w:p>
    <w:p>
      <w:pPr>
        <w:pStyle w:val="11"/>
        <w:ind w:left="0" w:leftChars="0" w:firstLine="240" w:firstLineChars="100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1) 病床、办公用品搬运等；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2）设备搬运；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3）病历、医疗文书搬运（搬运病历、医疗文书出现顺序颠倒、遗漏而影响到正常排序或缺失的，将根据使用科室意见处罚500元-3000元/次）</w:t>
      </w:r>
    </w:p>
    <w:p>
      <w:pPr>
        <w:pStyle w:val="11"/>
        <w:ind w:left="0" w:leftChars="0"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三、资质要求：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1）具有独立承担民事责任的能力。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（2）具有经年检有效的《营业执照》，经营范围包含相关服务内容。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招标时间及地点：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（1）开标时间：医院通知。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（2）招标地点：院内会议室。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（3）招标方式：竞争性谈判。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（3）投标文件1式1份，开标时提供（格式参见第二部分）。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五、报名时间及地点: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（1）报名时间：2023年3月2日至2023年3月8日(节假日除外）。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上午8:00-11:00  下午2:00-5:00。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（2）报名地点：丹阳市教育印刷厂三楼丹阳市人民医院采购中心。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（3）联系人：杨先生。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（4）联系电话：0511-86553123  15189172512。</w:t>
      </w:r>
    </w:p>
    <w:p>
      <w:pPr>
        <w:pStyle w:val="4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1）营业执照复印件（复印件盖公章）。</w:t>
      </w:r>
      <w:bookmarkStart w:id="9" w:name="_GoBack"/>
      <w:bookmarkEnd w:id="9"/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（2）法人授权委托书及被授权人身份证复印件，法人参加报名的提供法人身份证复印件。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七、响应时间: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包1，包2，包3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分钟。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（2）应急维修响应：24小时响应，到场时间≤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0分钟。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2.包4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（1）每周七天，7：30-11:30；13:30-17：30，响应时间：接到院方通知后到场时间≤120分钟。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（2）应急搬运响应：24小时响应，到场时间≤60分钟。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  <w:t>八、质量标准：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1）符合国家相关行业规范，不得干扰正常的诊疗秩序。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（2）服务结束自行清理施工现场，保持环境整洁，使用部门验收合格。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如累计出现3次未能及时清理现场的现象，结清服务费，合同终止。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（3）响应不及时，扣100元/次。一个月出现3次不及时现象，结清服务费，合同终止。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（4）有义务配合院方对相关故障、隐患等进行相应排查且能查找到原因并提供解决方案，此工作项不计费。如1个季度内累计出现3次未能配合院方进行相应排查或排查工作不尽力的，结清服务费，合同终止。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（5）业务能力强，维修工作不能造成次生故障，否则需承担相应赔偿责任。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（6）搬运中院方财物出现损坏、遗失的，搬运方造价赔偿。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（7）服务整个过程中（含来院、离院、外加工等）的安全法律责任由中标方自行承担。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九、人工服务参考价：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（1）常规服务时间：7：30-11:30；13:30-17：30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服务时间≤2小时，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人工服务单价：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2小时＜服务时间≤ 4小时，人工服务单价：120元/人；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4小时＜服务时间≤ 6小时，人工服务单价：180元/人；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④6小时＜服务时间≤ 8小时，人工服务单价：240元/人。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（2）非常规服务时间：11:30-13：30；17:30-7:30 及国家法定节假日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接到院方通知后，上门费：50元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/人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，按小时计算人工工资，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40元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/小时.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因工程量较大，在常规服务时间内无法全部完工，则常规服务时间部分的服务费按照常规服务时间人工服务单价结算，非常规服务时间部分的服务费按照40元/小时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.人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计算。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十、工时认定：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（1）现场部分，工时由被服务科室签字确认。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（2）如材料需外加工，产生的工时由总务科签字确认。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（3）来院及工作完成后离院所产生的时间不认定为工时。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十一、报价要求：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根据院方参考价报折扣率，实际费用=院方标准价*折扣。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十二、结算方式：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维修服务结束，经总务科及相关部门验收合格，2个月内完成审计工作，中标方出具发票，院方按实结算。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十三、评标方式及规则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 xml:space="preserve">（一）评审方法：按照由低到高排序，商务下浮率最低并具有医院业绩及特殊情况下协助医院建设（疫情期间有承接医院相关类似建设）优先确定为中标人。 </w:t>
      </w:r>
    </w:p>
    <w:p>
      <w:pPr>
        <w:pStyle w:val="11"/>
        <w:ind w:left="0" w:leftChars="0" w:firstLine="0" w:firstLineChars="0"/>
        <w:rPr>
          <w:rFonts w:hint="default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（二）中标候选人数：每个分包项选择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个中标候选人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，如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服务质量未达到方案之约定的，解除合同，与排列序号为下一位的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签订合同。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pStyle w:val="4"/>
        <w:numPr>
          <w:ilvl w:val="3"/>
          <w:numId w:val="0"/>
        </w:numPr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第二部分 询价</w:t>
      </w:r>
      <w:r>
        <w:rPr>
          <w:rFonts w:hint="eastAsia"/>
          <w:sz w:val="32"/>
          <w:szCs w:val="32"/>
        </w:rPr>
        <w:t>响应文件（格式</w:t>
      </w:r>
      <w:r>
        <w:rPr>
          <w:rFonts w:hint="eastAsia"/>
          <w:sz w:val="32"/>
          <w:szCs w:val="32"/>
          <w:lang w:val="en-US" w:eastAsia="zh-CN"/>
        </w:rPr>
        <w:t>如下</w:t>
      </w:r>
      <w:r>
        <w:rPr>
          <w:rFonts w:hint="eastAsia"/>
          <w:sz w:val="32"/>
          <w:szCs w:val="32"/>
        </w:rPr>
        <w:t>）</w:t>
      </w:r>
    </w:p>
    <w:p>
      <w:pPr>
        <w:pStyle w:val="11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丹阳市人民医院零工服务</w:t>
      </w:r>
    </w:p>
    <w:p>
      <w:pPr>
        <w:snapToGrid w:val="0"/>
        <w:spacing w:line="396" w:lineRule="atLeast"/>
        <w:ind w:firstLine="154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  <w:lang w:val="en-US" w:eastAsia="zh-CN"/>
        </w:rPr>
        <w:t>DRY-CG-2023001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）</w:t>
      </w:r>
    </w:p>
    <w:p>
      <w:pPr>
        <w:snapToGrid w:val="0"/>
        <w:spacing w:line="396" w:lineRule="atLeast"/>
        <w:ind w:firstLine="1827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/>
        </w:rPr>
      </w:pPr>
    </w:p>
    <w:p>
      <w:pPr>
        <w:snapToGrid w:val="0"/>
        <w:spacing w:line="396" w:lineRule="atLeast"/>
        <w:ind w:firstLine="1600" w:firstLineChars="50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9147"/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 标 函</w:t>
      </w:r>
      <w:bookmarkEnd w:id="0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丹阳市人民医院</w:t>
      </w:r>
      <w:r>
        <w:rPr>
          <w:rFonts w:hint="eastAsia"/>
          <w:sz w:val="28"/>
          <w:szCs w:val="28"/>
          <w:u w:val="single"/>
        </w:rPr>
        <w:t>: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/>
          <w:sz w:val="28"/>
          <w:szCs w:val="28"/>
          <w:u w:val="single"/>
          <w:lang w:val="en-US" w:eastAsia="zh-CN"/>
        </w:rPr>
        <w:t>丹阳市人民医院零工服务项目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</w:t>
      </w:r>
      <w:r>
        <w:rPr>
          <w:rFonts w:hint="eastAsia"/>
          <w:sz w:val="28"/>
          <w:szCs w:val="28"/>
          <w:lang w:val="en-US" w:eastAsia="zh-CN"/>
        </w:rPr>
        <w:t>折扣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%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折扣率投标</w:t>
      </w:r>
      <w:r>
        <w:rPr>
          <w:rFonts w:hint="eastAsia"/>
          <w:sz w:val="28"/>
          <w:szCs w:val="28"/>
        </w:rPr>
        <w:t>，并将按招标文件的规定履行合同责任和义务，实现工程目的。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(l）我方承诺在收到中标通知后，在规定的期限内与你方签订合同。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）我方将严格履行本投标文件中的全部承诺和责任，并遵守招标文件中对投标人的所有规定。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投标人(公章)：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法人代表或授权委托人（签字或印章）：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  <w:color w:val="auto"/>
        </w:rPr>
      </w:pPr>
    </w:p>
    <w:p>
      <w:pPr>
        <w:snapToGrid w:val="0"/>
        <w:spacing w:line="470" w:lineRule="atLeast"/>
        <w:ind w:left="5680" w:hanging="5074"/>
        <w:rPr>
          <w:b/>
          <w:bCs/>
          <w:sz w:val="36"/>
        </w:rPr>
      </w:pPr>
      <w:r>
        <w:rPr>
          <w:rFonts w:ascii="宋体" w:hAnsi="宋体"/>
          <w:color w:val="auto"/>
        </w:rPr>
        <w:br w:type="page"/>
      </w:r>
      <w:bookmarkStart w:id="1" w:name="_Toc26543"/>
      <w:r>
        <w:rPr>
          <w:rFonts w:hint="eastAsia" w:ascii="宋体" w:hAnsi="宋体"/>
          <w:color w:val="auto"/>
          <w:lang w:val="en-US" w:eastAsia="zh-CN"/>
        </w:rPr>
        <w:t xml:space="preserve">                 </w:t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 xml:space="preserve"> 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包1</w:t>
      </w:r>
      <w:r>
        <w:rPr>
          <w:b/>
          <w:bCs/>
          <w:sz w:val="32"/>
          <w:szCs w:val="20"/>
        </w:rPr>
        <w:t>）</w:t>
      </w:r>
      <w:bookmarkEnd w:id="1"/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包1：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零星土建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bookmarkStart w:id="2" w:name="_Toc26951"/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包2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包2：水暖、管道等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维修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与安装；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包3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包3：五金维修制作等。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rPr>
          <w:rFonts w:hint="eastAsia" w:eastAsia="宋体" w:cs="Times New Roman"/>
          <w:b/>
          <w:bCs/>
          <w:sz w:val="32"/>
          <w:szCs w:val="20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br w:type="page"/>
      </w: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包4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包4：搬运类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ind w:firstLine="280" w:firstLineChars="100"/>
      </w:pPr>
      <w:r>
        <w:t>2、投标供应商必须据实填写此表，项目报价不得超过预算。</w:t>
      </w:r>
    </w:p>
    <w:p>
      <w:pPr>
        <w:rPr>
          <w:rFonts w:hint="eastAsia" w:eastAsia="宋体"/>
          <w:b/>
          <w:bCs/>
          <w:sz w:val="32"/>
          <w:szCs w:val="20"/>
          <w:lang w:val="en-US" w:eastAsia="zh-CN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</w:p>
    <w:p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eastAsia="宋体" w:cs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      别：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    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     务：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(投标人名称)的法定代表人。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>(盖公章)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ind w:leftChars="0"/>
        <w:jc w:val="center"/>
        <w:rPr>
          <w:rFonts w:ascii="宋体" w:hAnsi="宋体" w:eastAsia="宋体" w:cs="宋体"/>
          <w:sz w:val="32"/>
          <w:szCs w:val="32"/>
        </w:rPr>
      </w:pPr>
      <w:bookmarkStart w:id="3" w:name="_Toc1045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  <w:bookmarkEnd w:id="3"/>
    </w:p>
    <w:p>
      <w:pPr>
        <w:pStyle w:val="8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标段投标文件、签订合同和处理有关事宜，其法律后果由我方承担。</w:t>
      </w:r>
    </w:p>
    <w:p>
      <w:pPr>
        <w:pStyle w:val="8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8"/>
        <w:spacing w:line="206" w:lineRule="atLeast"/>
        <w:ind w:firstLine="1400" w:firstLineChars="500"/>
        <w:jc w:val="righ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8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</w:p>
    <w:p>
      <w:pPr>
        <w:pStyle w:val="8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期：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100" w:lineRule="atLeast"/>
        <w:ind w:firstLine="567"/>
        <w:jc w:val="both"/>
        <w:rPr>
          <w:color w:val="000000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4" w:name="_Toc43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pStyle w:val="5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、资格审查资料</w:t>
      </w:r>
      <w:bookmarkEnd w:id="4"/>
    </w:p>
    <w:p>
      <w:pPr>
        <w:pStyle w:val="5"/>
        <w:numPr>
          <w:ilvl w:val="0"/>
          <w:numId w:val="1"/>
        </w:numPr>
        <w:ind w:left="-180" w:leftChars="0" w:firstLine="0" w:firstLineChars="0"/>
        <w:jc w:val="center"/>
        <w:outlineLvl w:val="1"/>
        <w:rPr>
          <w:rFonts w:ascii="宋体" w:hAnsi="宋体" w:eastAsia="宋体" w:cs="宋体"/>
        </w:rPr>
      </w:pPr>
      <w:bookmarkStart w:id="5" w:name="_Toc28085"/>
      <w:r>
        <w:rPr>
          <w:rFonts w:hint="eastAsia" w:ascii="宋体" w:hAnsi="宋体" w:eastAsia="宋体" w:cs="宋体"/>
          <w:b/>
          <w:bCs/>
        </w:rPr>
        <w:t>投标人基本情况表</w:t>
      </w:r>
      <w:bookmarkEnd w:id="5"/>
    </w:p>
    <w:tbl>
      <w:tblPr>
        <w:tblStyle w:val="9"/>
        <w:tblpPr w:leftFromText="180" w:rightFromText="180" w:vertAnchor="text" w:horzAnchor="page" w:tblpX="1181" w:tblpY="925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投标人名称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5"/>
        <w:tabs>
          <w:tab w:val="left" w:pos="1374"/>
        </w:tabs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本表后应附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营业执照等证明</w:t>
      </w:r>
      <w:r>
        <w:rPr>
          <w:rFonts w:hint="eastAsia" w:ascii="宋体" w:hAnsi="宋体" w:eastAsia="宋体" w:cs="宋体"/>
          <w:sz w:val="24"/>
          <w:szCs w:val="24"/>
        </w:rPr>
        <w:t>材料复印件</w:t>
      </w:r>
    </w:p>
    <w:p>
      <w:pPr>
        <w:pStyle w:val="5"/>
        <w:tabs>
          <w:tab w:val="left" w:pos="1374"/>
        </w:tabs>
        <w:rPr>
          <w:rFonts w:ascii="黑体" w:hAnsi="宋体" w:eastAsia="黑体" w:cs="黑体"/>
          <w:b/>
          <w:bCs/>
          <w:sz w:val="24"/>
          <w:szCs w:val="24"/>
        </w:rPr>
      </w:pPr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bookmarkStart w:id="6" w:name="_Toc18040"/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widowControl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jc w:val="center"/>
        <w:outlineLvl w:val="3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11"/>
        <w:rPr>
          <w:rFonts w:ascii="宋体" w:hAnsi="宋体" w:eastAsia="宋体" w:cs="宋体"/>
        </w:rPr>
      </w:pPr>
    </w:p>
    <w:p>
      <w:pPr>
        <w:pStyle w:val="11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numPr>
          <w:ilvl w:val="0"/>
          <w:numId w:val="0"/>
        </w:numPr>
        <w:ind w:left="270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bookmarkEnd w:id="6"/>
    <w:p>
      <w:pPr>
        <w:numPr>
          <w:ilvl w:val="0"/>
          <w:numId w:val="0"/>
        </w:num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>
      <w:pPr>
        <w:pStyle w:val="1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210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3F461A7B"/>
    <w:rsid w:val="03CD535E"/>
    <w:rsid w:val="05E24025"/>
    <w:rsid w:val="08B66052"/>
    <w:rsid w:val="09DB739A"/>
    <w:rsid w:val="0F737BC6"/>
    <w:rsid w:val="115D5C64"/>
    <w:rsid w:val="11FC5197"/>
    <w:rsid w:val="13086EA7"/>
    <w:rsid w:val="137B372F"/>
    <w:rsid w:val="2A386144"/>
    <w:rsid w:val="374908B2"/>
    <w:rsid w:val="3E4623D8"/>
    <w:rsid w:val="3F087854"/>
    <w:rsid w:val="3F461A7B"/>
    <w:rsid w:val="402106AF"/>
    <w:rsid w:val="41512EF0"/>
    <w:rsid w:val="45A15E24"/>
    <w:rsid w:val="46FB2D36"/>
    <w:rsid w:val="4BE41973"/>
    <w:rsid w:val="4CE40489"/>
    <w:rsid w:val="51095FB0"/>
    <w:rsid w:val="520C1598"/>
    <w:rsid w:val="576866D7"/>
    <w:rsid w:val="5BDE751B"/>
    <w:rsid w:val="5BE51CBA"/>
    <w:rsid w:val="677600B7"/>
    <w:rsid w:val="6A07440E"/>
    <w:rsid w:val="6AAB1CE8"/>
    <w:rsid w:val="6F452486"/>
    <w:rsid w:val="74A82259"/>
    <w:rsid w:val="79DE2D94"/>
    <w:rsid w:val="7BBD564B"/>
    <w:rsid w:val="7E2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0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微软雅黑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5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Body Text Indent"/>
    <w:basedOn w:val="1"/>
    <w:next w:val="7"/>
    <w:link w:val="13"/>
    <w:qFormat/>
    <w:uiPriority w:val="0"/>
    <w:pPr>
      <w:spacing w:line="240" w:lineRule="auto"/>
      <w:ind w:firstLine="795"/>
    </w:pPr>
    <w:rPr>
      <w:color w:val="auto"/>
      <w:sz w:val="32"/>
      <w:szCs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/>
      <w:color w:val="auto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3">
    <w:name w:val="正文文本缩进 Char"/>
    <w:link w:val="6"/>
    <w:qFormat/>
    <w:uiPriority w:val="0"/>
    <w:rPr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3677</Words>
  <Characters>3842</Characters>
  <Lines>0</Lines>
  <Paragraphs>0</Paragraphs>
  <TotalTime>90</TotalTime>
  <ScaleCrop>false</ScaleCrop>
  <LinksUpToDate>false</LinksUpToDate>
  <CharactersWithSpaces>4583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2022-09-09T08:10:00Z</dcterms:created>
  <dc:creator>Administrator</dc:creator>
  <cp:lastModifiedBy>木易三金</cp:lastModifiedBy>
  <cp:lastPrinted>2023-02-22T23:27:00Z</cp:lastPrinted>
  <dcterms:modified xsi:type="dcterms:W3CDTF">2023-03-02T07:38:00Z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1CD30A83304A4814A344669E072D2D47</vt:lpwstr>
  </property>
</Properties>
</file>