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丹阳市人民医院污水管道改造招标需求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名称：污水管道改造招标</w:t>
      </w:r>
      <w:r>
        <w:rPr>
          <w:rFonts w:hint="eastAsia" w:ascii="宋体" w:hAnsi="宋体" w:cs="宋体"/>
          <w:lang w:eastAsia="zh-CN"/>
        </w:rPr>
        <w:t>项目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3030；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招标控制价：10.8万元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  <w:bookmarkStart w:id="8" w:name="_GoBack"/>
      <w:bookmarkEnd w:id="8"/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9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22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9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28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下午2:30-5:30；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lang w:val="en-US" w:eastAsia="zh-CN"/>
        </w:rPr>
      </w:pPr>
      <w:r>
        <w:rPr>
          <w:rFonts w:hint="eastAsia" w:eastAsia="宋体"/>
          <w:b/>
          <w:lang w:val="en-US" w:eastAsia="zh-CN"/>
        </w:rPr>
        <w:t>3.1投标人应具备《中华人民共和国政府采购法》第二十二条规定的条件，提供下列材料：</w:t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1）具有独立承担民事责任的能力：在中华人民共和国境内注册的法人或其他组织或自然人，投标（响应）时提交有效的营业执照（或事业法人登记证或身份证等相关证明）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2）有依法缴纳税收和社会保障资金的良好记录：有依法缴纳税收和社会保障资金的良好记录（提供资格承诺函）。</w:t>
      </w: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3）具有良好的商业信誉和健全的财务会计制度：供应商必须具有良好的商业信誉和健全的财务会计制度（提供资格承诺函）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4）履行合同所必需的设备和专业技术能力：按投标（响应）文件格式填报设备及专业技术能力情况（提供资格承诺函）。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>3.2</w:t>
      </w:r>
      <w:r>
        <w:rPr>
          <w:b/>
        </w:rPr>
        <w:t>本项目特定的资格要求：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</w:rPr>
      </w:pPr>
      <w:r>
        <w:rPr>
          <w:rFonts w:hint="eastAsia"/>
        </w:rPr>
        <w:t>单位负责人为同一人或者存在直接控股、管理关系的不同供应商，不得同时参加本采购项</w:t>
      </w:r>
      <w:r>
        <w:rPr>
          <w:rFonts w:hint="eastAsia" w:eastAsia="宋体"/>
        </w:rPr>
        <w:t>目（或采购包）投标（响应）。为本项目提供整体设计、规范编制或者项目管理、 监理、 检测等服务的供应商，不得再参与本项目投标（响应）。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经年检有效的《营业执照》复印件，经营范围内含：土建、建筑、装饰工程施工等内容，资质：叁级及以上。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</w:rPr>
      </w:pPr>
      <w:r>
        <w:rPr>
          <w:rFonts w:hint="eastAsia" w:eastAsia="宋体"/>
          <w:lang w:eastAsia="zh-CN"/>
        </w:rPr>
        <w:t>有效期内安全生产许可证复印件，加盖公章。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四、施工内容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4.1门诊楼北侧、东侧、南侧的污水管，套管穿越旧污水井并直接连至新污水井内（作用：让门诊楼污水直接流入新污水井），老污水井填埋，井面恢复至与周边路面一致</w:t>
      </w:r>
      <w:r>
        <w:rPr>
          <w:rFonts w:hint="eastAsia"/>
          <w:lang w:val="en-US" w:eastAsia="zh-CN"/>
        </w:rPr>
        <w:t>。</w:t>
      </w:r>
      <w:r>
        <w:rPr>
          <w:rFonts w:hint="eastAsia" w:eastAsia="宋体"/>
          <w:lang w:val="en-US" w:eastAsia="zh-CN"/>
        </w:rPr>
        <w:t>门诊楼</w:t>
      </w:r>
      <w:r>
        <w:rPr>
          <w:rFonts w:hint="eastAsia"/>
          <w:lang w:val="en-US" w:eastAsia="zh-CN"/>
        </w:rPr>
        <w:t>周边</w:t>
      </w:r>
      <w:r>
        <w:rPr>
          <w:rFonts w:hint="eastAsia" w:eastAsia="宋体"/>
          <w:lang w:val="en-US" w:eastAsia="zh-CN"/>
        </w:rPr>
        <w:t>约21个污水井</w:t>
      </w:r>
      <w:r>
        <w:rPr>
          <w:rFonts w:hint="eastAsia"/>
          <w:lang w:val="en-US" w:eastAsia="zh-CN"/>
        </w:rPr>
        <w:t>，将原标识错误的井盖进行更换，</w:t>
      </w:r>
      <w:r>
        <w:rPr>
          <w:rFonts w:hint="eastAsia" w:eastAsia="宋体"/>
          <w:lang w:val="en-US" w:eastAsia="zh-CN"/>
        </w:rPr>
        <w:t>井盖标识正确。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4.2三号楼东侧外墙地面污水沟改造，沟内铺设管道并沿沟体延伸、破路并继续铺设管道连入原三号楼东北侧化粪池内，三号楼东侧外墙污水管汇入沟内铺设的管道，并逐一安装检修井</w:t>
      </w:r>
      <w:r>
        <w:rPr>
          <w:rFonts w:hint="eastAsia"/>
          <w:lang w:val="en-US" w:eastAsia="zh-CN"/>
        </w:rPr>
        <w:t>、</w:t>
      </w:r>
      <w:r>
        <w:rPr>
          <w:rFonts w:hint="eastAsia" w:eastAsia="宋体"/>
          <w:lang w:val="en-US" w:eastAsia="zh-CN"/>
        </w:rPr>
        <w:t>井盖标识正确</w:t>
      </w:r>
      <w:r>
        <w:rPr>
          <w:rFonts w:hint="eastAsia"/>
          <w:lang w:val="en-US" w:eastAsia="zh-CN"/>
        </w:rPr>
        <w:t>，</w:t>
      </w:r>
      <w:r>
        <w:rPr>
          <w:rFonts w:hint="eastAsia" w:eastAsia="宋体"/>
          <w:lang w:val="en-US" w:eastAsia="zh-CN"/>
        </w:rPr>
        <w:t>将东北侧化粪池原水泥盖板更换为可掀起的盖板</w:t>
      </w:r>
      <w:r>
        <w:rPr>
          <w:rFonts w:hint="eastAsia"/>
          <w:lang w:val="en-US" w:eastAsia="zh-CN"/>
        </w:rPr>
        <w:t>，</w:t>
      </w:r>
      <w:r>
        <w:rPr>
          <w:rFonts w:hint="eastAsia" w:eastAsia="宋体"/>
          <w:lang w:val="en-US" w:eastAsia="zh-CN"/>
        </w:rPr>
        <w:t>井盖标识正确，路面恢复。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4.3三号楼北侧破路埋管连通至三号楼北侧化粪池内，外墙污水管汇入沟内铺设的管道，并逐一安装检修井</w:t>
      </w:r>
      <w:r>
        <w:rPr>
          <w:rFonts w:hint="eastAsia"/>
          <w:lang w:val="en-US" w:eastAsia="zh-CN"/>
        </w:rPr>
        <w:t>、</w:t>
      </w:r>
      <w:r>
        <w:rPr>
          <w:rFonts w:hint="eastAsia" w:eastAsia="宋体"/>
          <w:lang w:val="en-US" w:eastAsia="zh-CN"/>
        </w:rPr>
        <w:t>井盖标识正确</w:t>
      </w:r>
      <w:r>
        <w:rPr>
          <w:rFonts w:hint="eastAsia"/>
          <w:lang w:val="en-US" w:eastAsia="zh-CN"/>
        </w:rPr>
        <w:t>，</w:t>
      </w:r>
      <w:r>
        <w:rPr>
          <w:rFonts w:hint="eastAsia" w:eastAsia="宋体"/>
          <w:lang w:val="en-US" w:eastAsia="zh-CN"/>
        </w:rPr>
        <w:t>路面恢复。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4.4四号楼负1楼南侧地巾清洗房与负压吸引机房污水管道接管，安装止回阀后，开槽沿四号楼东侧绕至四号楼北侧，并接入北侧化粪池内，化粪池井盖标识正确</w:t>
      </w:r>
      <w:r>
        <w:rPr>
          <w:rFonts w:hint="eastAsia"/>
          <w:lang w:val="en-US" w:eastAsia="zh-CN"/>
        </w:rPr>
        <w:t>，</w:t>
      </w:r>
      <w:r>
        <w:rPr>
          <w:rFonts w:hint="eastAsia" w:eastAsia="宋体"/>
          <w:lang w:val="en-US" w:eastAsia="zh-CN"/>
        </w:rPr>
        <w:t>路面恢复。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4.5对</w:t>
      </w:r>
      <w:r>
        <w:rPr>
          <w:rFonts w:hint="eastAsia"/>
          <w:lang w:val="en-US" w:eastAsia="zh-CN"/>
        </w:rPr>
        <w:t>本改造工程以外的</w:t>
      </w:r>
      <w:r>
        <w:rPr>
          <w:rFonts w:hint="eastAsia" w:eastAsia="宋体"/>
          <w:lang w:val="en-US" w:eastAsia="zh-CN"/>
        </w:rPr>
        <w:t>院内所有管网（包括化粪池）井盖进行检查，在标识错误的井盖上用金属标识牌标记正确。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五、施工要求（技术及服务要求）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5.1</w:t>
      </w:r>
      <w:r>
        <w:rPr>
          <w:rFonts w:hint="eastAsia"/>
        </w:rPr>
        <w:t>施工现场采用围栏防护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此需求必须做到，否则完工结算扣工程款2000元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5.2</w:t>
      </w:r>
      <w:r>
        <w:rPr>
          <w:rFonts w:hint="eastAsia"/>
        </w:rPr>
        <w:t>挖掘确保对沿途地面以下高低压电缆及水管不造成破坏，必要时采用人工挖掘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5.3</w:t>
      </w:r>
      <w:r>
        <w:rPr>
          <w:rFonts w:hint="eastAsia"/>
        </w:rPr>
        <w:t>建筑材料临时堆放位置由甲方指定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5.4</w:t>
      </w:r>
      <w:r>
        <w:rPr>
          <w:rFonts w:hint="eastAsia"/>
        </w:rPr>
        <w:t>服从甲方管理，及时清运废弃物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5.5</w:t>
      </w:r>
      <w:r>
        <w:rPr>
          <w:rFonts w:hint="eastAsia"/>
        </w:rPr>
        <w:t>施工前办理《施工证申请表》。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5.6</w:t>
      </w:r>
      <w:r>
        <w:rPr>
          <w:rFonts w:hint="eastAsia"/>
        </w:rPr>
        <w:t>施工用到水、电、气费由院方承担。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5.7</w:t>
      </w:r>
      <w:r>
        <w:rPr>
          <w:rFonts w:hint="eastAsia"/>
        </w:rPr>
        <w:t>管道材质与管径见工程量清单。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5.8</w:t>
      </w:r>
      <w:r>
        <w:rPr>
          <w:rFonts w:hint="eastAsia"/>
        </w:rPr>
        <w:t>工程数量仅供参考，投标前请自行现场勘查、确认。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5.9施工重要节点，拍照留证交院方，照片＞10张。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六、工程保修期：2年。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七、商务要求</w:t>
      </w:r>
    </w:p>
    <w:tbl>
      <w:tblPr>
        <w:tblStyle w:val="18"/>
        <w:tblW w:w="508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7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96" w:type="pct"/>
            <w:vAlign w:val="center"/>
          </w:tcPr>
          <w:p>
            <w:pPr>
              <w:jc w:val="center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903" w:type="pct"/>
            <w:vAlign w:val="center"/>
          </w:tcPr>
          <w:p>
            <w:pPr>
              <w:jc w:val="both"/>
            </w:pPr>
            <w:r>
              <w:t>自合同签订之日起</w:t>
            </w:r>
            <w:r>
              <w:rPr>
                <w:rFonts w:hint="eastAsia"/>
                <w:lang w:val="en-US" w:eastAsia="zh-CN"/>
              </w:rPr>
              <w:t>20天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903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验收要求</w:t>
            </w:r>
          </w:p>
        </w:tc>
        <w:tc>
          <w:tcPr>
            <w:tcW w:w="3903" w:type="pct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1.门诊南侧、东侧、北侧污水全部流入新建污水管网，无遗漏，井盖完好且标识正确，路面已恢复与周围一致。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2.三号楼东侧污水沟破路埋管并已接入东北侧化粪池，根据三号楼东侧污水管数量已安装了相应的检修口，检修口井盖标识正确。三号楼东北侧化粪池盖板已更换为可掀起盖板，盖板已贴上正确标识。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3.三号楼北侧破路埋管已连通至三号楼北侧化粪池内，外墙污水管已汇入沟内铺设的管道，并逐一安装了检修井，井盖标识正确，路面已恢复。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4.四号楼地巾清洗间与负压吸引间污水接管，沿四号楼东侧开槽接管连至4号楼北侧化粪池内，井盖标识正确，止回阀已安装到位，路面已恢复。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5.本改造工程以外的</w:t>
            </w:r>
            <w:r>
              <w:rPr>
                <w:rFonts w:hint="eastAsia" w:eastAsia="宋体"/>
                <w:lang w:val="en-US" w:eastAsia="zh-CN"/>
              </w:rPr>
              <w:t>院内所有管网（包括化粪池）井盖标识</w:t>
            </w:r>
            <w:r>
              <w:rPr>
                <w:rFonts w:hint="eastAsia"/>
                <w:lang w:val="en-US" w:eastAsia="zh-CN"/>
              </w:rPr>
              <w:t>正确，标识错误的井盖已用</w:t>
            </w:r>
            <w:r>
              <w:rPr>
                <w:rFonts w:hint="eastAsia" w:eastAsia="宋体"/>
                <w:lang w:val="en-US" w:eastAsia="zh-CN"/>
              </w:rPr>
              <w:t>金属标识牌标记正确。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903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工程竣工验收合格，审计结束后，甲方支付80%；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工程竣工验收合格满一年，甲方支付10%。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缺陷责任期终止后，余款付清。</w:t>
            </w:r>
          </w:p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承包人上报的工程结算金额须准确，如所报工程结算的审减比例超过9%（注：审减比例＝（报审金额﹣审定金额）／报审金额＊100%),工程结算审减金额超出9％部分的竣工结算审计咨询费由承包人承担，按审减额的3％计取，该费用由发包人从应付合同价款中扣缴。若发现承包人恶意虚报，发包人有权将承包人列入人民医院黑名单并暂停其投标报名一年。</w:t>
            </w: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投标文件1式，开标时提供（格式参见第二部分）。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丹阳市人民医院污水管道改造招标项目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eastAsia="zh-CN"/>
        </w:rPr>
        <w:t>DRY-CG-2023030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丹阳市人民医院污水管道改造招标项目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丹阳市人民医院污水管道改造招标项目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bookmarkEnd w:id="2"/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eastAsia" w:cs="宋体"/>
          <w:sz w:val="32"/>
          <w:szCs w:val="32"/>
          <w:lang w:val="en-US" w:eastAsia="zh-CN"/>
        </w:rPr>
      </w:pPr>
      <w:bookmarkStart w:id="3" w:name="_Toc10458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4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5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6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2CD6071"/>
    <w:rsid w:val="04425FE9"/>
    <w:rsid w:val="08E4710F"/>
    <w:rsid w:val="09294C09"/>
    <w:rsid w:val="0D3E3974"/>
    <w:rsid w:val="0D5F7C0C"/>
    <w:rsid w:val="10BF64E9"/>
    <w:rsid w:val="112D72E7"/>
    <w:rsid w:val="149633B3"/>
    <w:rsid w:val="14C14790"/>
    <w:rsid w:val="17166BB7"/>
    <w:rsid w:val="19A2414E"/>
    <w:rsid w:val="19CA6475"/>
    <w:rsid w:val="1B38247A"/>
    <w:rsid w:val="1B50464C"/>
    <w:rsid w:val="1B592166"/>
    <w:rsid w:val="1E5D3CF4"/>
    <w:rsid w:val="21AB121A"/>
    <w:rsid w:val="244E059F"/>
    <w:rsid w:val="25212EA4"/>
    <w:rsid w:val="278F6AA6"/>
    <w:rsid w:val="2B1167EC"/>
    <w:rsid w:val="2BAB28CF"/>
    <w:rsid w:val="2EBD19FE"/>
    <w:rsid w:val="309B756E"/>
    <w:rsid w:val="30D76D02"/>
    <w:rsid w:val="30F96FE4"/>
    <w:rsid w:val="32346F6E"/>
    <w:rsid w:val="356824AE"/>
    <w:rsid w:val="35747E49"/>
    <w:rsid w:val="361A18E7"/>
    <w:rsid w:val="36FE4E33"/>
    <w:rsid w:val="37415068"/>
    <w:rsid w:val="3989585D"/>
    <w:rsid w:val="3B11404B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1231B29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47C797D"/>
    <w:rsid w:val="66C252BF"/>
    <w:rsid w:val="69720F3F"/>
    <w:rsid w:val="69DC2875"/>
    <w:rsid w:val="6B814C60"/>
    <w:rsid w:val="6D5B386F"/>
    <w:rsid w:val="71962296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3114</Words>
  <Characters>3302</Characters>
  <Lines>24</Lines>
  <Paragraphs>6</Paragraphs>
  <TotalTime>21</TotalTime>
  <ScaleCrop>false</ScaleCrop>
  <LinksUpToDate>false</LinksUpToDate>
  <CharactersWithSpaces>4327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2023-09-16T01:07:00Z</cp:lastPrinted>
  <dcterms:modified xsi:type="dcterms:W3CDTF">2023-09-21T07:40:08Z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2F02CC7AAC3B46359D24AC0AC8B55F8D_13</vt:lpwstr>
  </property>
</Properties>
</file>