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丹阳市人民医院门诊楼</w:t>
      </w:r>
      <w:r>
        <w:rPr>
          <w:rFonts w:hint="eastAsia" w:ascii="微软雅黑" w:hAnsi="微软雅黑" w:cs="微软雅黑"/>
          <w:sz w:val="32"/>
          <w:szCs w:val="32"/>
          <w:lang w:val="en-US" w:eastAsia="zh-CN"/>
        </w:rPr>
        <w:t>板式换热工程招标</w:t>
      </w:r>
      <w:r>
        <w:rPr>
          <w:rFonts w:hint="eastAsia" w:ascii="微软雅黑" w:hAnsi="微软雅黑" w:cs="微软雅黑"/>
          <w:sz w:val="32"/>
          <w:szCs w:val="32"/>
        </w:rPr>
        <w:t>需求</w:t>
      </w:r>
    </w:p>
    <w:p/>
    <w:p>
      <w:pPr>
        <w:pStyle w:val="5"/>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1.1</w:t>
      </w:r>
      <w:r>
        <w:rPr>
          <w:rFonts w:hint="eastAsia" w:ascii="宋体" w:hAnsi="宋体" w:cs="宋体"/>
        </w:rPr>
        <w:t>名称：</w:t>
      </w:r>
      <w:r>
        <w:rPr>
          <w:rFonts w:hint="eastAsia" w:ascii="宋体" w:hAnsi="宋体" w:cs="宋体"/>
          <w:lang w:eastAsia="zh-CN"/>
        </w:rPr>
        <w:t>丹阳市人民医院门诊楼板式换热工程</w:t>
      </w:r>
      <w:r>
        <w:rPr>
          <w:rFonts w:hint="eastAsia" w:ascii="宋体" w:hAnsi="宋体" w:eastAsia="宋体" w:cs="宋体"/>
        </w:rPr>
        <w:t>项目（空调供回水及热交换器改造安装）</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lang w:val="en-US" w:eastAsia="zh-CN"/>
        </w:rPr>
        <w:t>:</w:t>
      </w:r>
      <w:r>
        <w:rPr>
          <w:rFonts w:hint="eastAsia" w:ascii="宋体" w:hAnsi="宋体" w:cs="宋体"/>
          <w:color w:val="0000FF"/>
          <w:lang w:eastAsia="zh-CN"/>
        </w:rPr>
        <w:t>DRY-CG-2023033</w:t>
      </w:r>
      <w:r>
        <w:rPr>
          <w:rFonts w:hint="eastAsia" w:ascii="宋体" w:hAnsi="宋体" w:cs="宋体"/>
          <w:color w:val="0000FF"/>
          <w:lang w:val="en-US" w:eastAsia="zh-CN"/>
        </w:rPr>
        <w:t>；</w:t>
      </w:r>
    </w:p>
    <w:p>
      <w:pPr>
        <w:rPr>
          <w:rFonts w:hint="eastAsia" w:ascii="宋体" w:hAnsi="宋体" w:cs="宋体"/>
          <w:lang w:val="en-US" w:eastAsia="zh-CN"/>
        </w:rPr>
      </w:pPr>
      <w:r>
        <w:rPr>
          <w:rFonts w:hint="eastAsia" w:ascii="宋体" w:hAnsi="宋体" w:cs="宋体"/>
        </w:rPr>
        <w:t>1.3 预算：</w:t>
      </w:r>
      <w:r>
        <w:rPr>
          <w:rFonts w:hint="eastAsia" w:ascii="宋体" w:hAnsi="宋体" w:eastAsia="宋体" w:cs="宋体"/>
        </w:rPr>
        <w:t>454089.88元（其中暂列金35000元，不可竞争）</w:t>
      </w:r>
      <w:r>
        <w:rPr>
          <w:rFonts w:hint="eastAsia" w:ascii="宋体" w:hAnsi="宋体" w:cs="宋体"/>
          <w:lang w:val="en-US" w:eastAsia="zh-CN"/>
        </w:rPr>
        <w:t>。</w:t>
      </w:r>
    </w:p>
    <w:p>
      <w:pPr>
        <w:pStyle w:val="5"/>
        <w:numPr>
          <w:ilvl w:val="3"/>
          <w:numId w:val="0"/>
        </w:numPr>
        <w:jc w:val="left"/>
        <w:rPr>
          <w:rFonts w:hint="eastAsia" w:eastAsia="微软雅黑"/>
          <w:lang w:eastAsia="zh-CN"/>
        </w:rPr>
      </w:pPr>
      <w:r>
        <w:rPr>
          <w:rFonts w:hint="eastAsia"/>
          <w:lang w:val="en-US" w:eastAsia="zh-CN"/>
        </w:rPr>
        <w:t>二</w:t>
      </w:r>
      <w:r>
        <w:rPr>
          <w:rFonts w:hint="eastAsia"/>
        </w:rPr>
        <w:t>、报名时间及地点</w:t>
      </w:r>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11</w:t>
      </w:r>
      <w:r>
        <w:rPr>
          <w:rFonts w:hint="eastAsia" w:ascii="宋体" w:hAnsi="宋体" w:cs="宋体"/>
          <w:bCs/>
          <w:color w:val="0000FF"/>
        </w:rPr>
        <w:t>月</w:t>
      </w:r>
      <w:r>
        <w:rPr>
          <w:rFonts w:hint="eastAsia" w:ascii="宋体" w:hAnsi="宋体" w:cs="宋体"/>
          <w:bCs/>
          <w:color w:val="0000FF"/>
          <w:lang w:val="en-US" w:eastAsia="zh-CN"/>
        </w:rPr>
        <w:t xml:space="preserve">4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11</w:t>
      </w:r>
      <w:r>
        <w:rPr>
          <w:rFonts w:hint="eastAsia" w:ascii="宋体" w:hAnsi="宋体" w:cs="宋体"/>
          <w:bCs/>
          <w:color w:val="0000FF"/>
        </w:rPr>
        <w:t>月</w:t>
      </w:r>
      <w:r>
        <w:rPr>
          <w:rFonts w:hint="eastAsia" w:ascii="宋体" w:hAnsi="宋体" w:cs="宋体"/>
          <w:bCs/>
          <w:color w:val="0000FF"/>
          <w:lang w:val="en-US" w:eastAsia="zh-CN"/>
        </w:rPr>
        <w:t xml:space="preserve"> 10 </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w:t>
      </w:r>
      <w:r>
        <w:rPr>
          <w:rFonts w:hint="eastAsia" w:ascii="宋体" w:hAnsi="宋体" w:cs="宋体"/>
          <w:bCs/>
          <w:lang w:val="en-US" w:eastAsia="zh-CN"/>
        </w:rPr>
        <w:t>00</w:t>
      </w:r>
      <w:r>
        <w:rPr>
          <w:rFonts w:hint="eastAsia" w:ascii="宋体" w:hAnsi="宋体" w:cs="宋体"/>
          <w:bCs/>
        </w:rPr>
        <w:t>-5:</w:t>
      </w:r>
      <w:r>
        <w:rPr>
          <w:rFonts w:hint="eastAsia" w:ascii="宋体" w:hAnsi="宋体" w:cs="宋体"/>
          <w:bCs/>
          <w:lang w:val="en-US" w:eastAsia="zh-CN"/>
        </w:rPr>
        <w:t>00</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5"/>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 xml:space="preserve">3.1 </w:t>
      </w:r>
      <w:r>
        <w:rPr>
          <w:b/>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pPr>
      <w:r>
        <w:t>2）有依法缴纳税收和社会保障资金的良好记录：有依法缴纳税收和社会保障资金的良好记录（提供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3）具有良好的商业信誉和健全的财务会计制度：供应商必须具有良好的商业信誉和健全的财务会计制度（提供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4）履行合同所必需的设备和专业技术能力：按投标（响应）文件格式填报设备及专业技术能力情况（提供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 xml:space="preserve">3.2 </w:t>
      </w:r>
      <w:r>
        <w:rPr>
          <w:b/>
        </w:rPr>
        <w:t>本项目特定的资格要求：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rPr>
        <w:t>单位负责人为同一人或者存在直接控股、管理关系的不同供应商，不得同时参加本采购项目（或采购包）投标（响应）。为本项目提供整体设计、规范编制或者项目管理、监理、检测等服务的供应商，不得再参与本项目</w:t>
      </w:r>
      <w:r>
        <w:t>投标（响应）。</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ascii="宋体" w:hAnsi="宋体" w:eastAsia="宋体" w:cs="宋体"/>
        </w:rPr>
        <w:t>本项目是否接受联合体：不接受</w:t>
      </w:r>
      <w:r>
        <w:rPr>
          <w:rFonts w:hint="eastAsia" w:ascii="宋体" w:hAnsi="宋体" w:eastAsia="宋体" w:cs="宋体"/>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szCs w:val="24"/>
        </w:rPr>
        <w:t>具有机电安装三级资质</w:t>
      </w:r>
      <w:r>
        <w:rPr>
          <w:rFonts w:hint="eastAsia" w:ascii="宋体" w:hAnsi="宋体" w:eastAsia="宋体" w:cs="宋体"/>
          <w:szCs w:val="24"/>
          <w:lang w:val="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rPr>
        <w:t>具有效期内的安全生产许可证。</w:t>
      </w:r>
    </w:p>
    <w:p>
      <w:pPr>
        <w:pStyle w:val="5"/>
        <w:numPr>
          <w:ilvl w:val="3"/>
          <w:numId w:val="0"/>
        </w:numPr>
        <w:bidi w:val="0"/>
        <w:ind w:leftChars="0"/>
        <w:jc w:val="left"/>
        <w:rPr>
          <w:rFonts w:hint="eastAsia"/>
          <w:lang w:val="en-US" w:eastAsia="zh-CN"/>
        </w:rPr>
      </w:pPr>
      <w:r>
        <w:rPr>
          <w:rFonts w:hint="eastAsia"/>
          <w:lang w:val="en-US" w:eastAsia="zh-CN"/>
        </w:rPr>
        <w:t>四、项目概况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rPr>
      </w:pPr>
      <w:r>
        <w:rPr>
          <w:rFonts w:hint="eastAsia"/>
        </w:rPr>
        <w:t>本工程为丹阳市人民医院门诊楼空调入户管线改造项目（空调供回水泵及热交换器改造安装）。原门诊楼空调冷、热水循环管接自内科病房楼地下一层直燃机房，管线出直燃机房后接入新装热交换器并接入空调变频泵（空调变频泵由原泵房内拆除使用）。现直燃机房拟取消，门诊楼空调系统并入新建住院综合大楼地下二层制冷机房，住院综合大楼制冷机房负荷能够满足门诊楼接入要求，并且已经于住院综合大楼西南角预留了管路接口。本项目主要是将去年已完成施工的</w:t>
      </w:r>
      <w:r>
        <w:rPr>
          <w:rFonts w:hint="eastAsia"/>
          <w:lang w:eastAsia="zh-CN"/>
        </w:rPr>
        <w:t>门诊楼板式换热工程</w:t>
      </w:r>
      <w:r>
        <w:rPr>
          <w:rFonts w:hint="eastAsia"/>
        </w:rPr>
        <w:t>项目的接口，接入老住院楼地下室的泵房内，并接入新安装完成的热交换器和空调变频泵连接门诊楼的空调供回水管路。</w:t>
      </w:r>
    </w:p>
    <w:p>
      <w:pPr>
        <w:numPr>
          <w:ilvl w:val="0"/>
          <w:numId w:val="3"/>
        </w:numPr>
        <w:adjustRightInd w:val="0"/>
        <w:snapToGrid w:val="0"/>
        <w:spacing w:line="360" w:lineRule="auto"/>
        <w:ind w:leftChars="0"/>
        <w:rPr>
          <w:rFonts w:hint="eastAsia"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施工范围：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ascii="宋体" w:hAnsi="宋体" w:eastAsia="宋体" w:cs="宋体"/>
        </w:rPr>
        <w:t>详细内容及要求见设计图纸、工程量清单及清单编制说明</w:t>
      </w:r>
      <w:r>
        <w:rPr>
          <w:rFonts w:hint="eastAsia" w:ascii="宋体" w:hAnsi="宋体" w:eastAsia="宋体" w:cs="宋体"/>
          <w:lang w:val="en-US" w:eastAsia="zh-CN"/>
        </w:rPr>
        <w:t>。</w:t>
      </w:r>
    </w:p>
    <w:p>
      <w:pPr>
        <w:pStyle w:val="3"/>
        <w:pageBreakBefore w:val="0"/>
        <w:numPr>
          <w:ilvl w:val="1"/>
          <w:numId w:val="0"/>
        </w:numPr>
        <w:kinsoku/>
        <w:wordWrap/>
        <w:overflowPunct/>
        <w:topLinePunct w:val="0"/>
        <w:autoSpaceDE/>
        <w:autoSpaceDN/>
        <w:bidi w:val="0"/>
        <w:adjustRightInd/>
        <w:snapToGrid/>
        <w:spacing w:line="240" w:lineRule="auto"/>
        <w:ind w:leftChars="0"/>
        <w:textAlignment w:val="auto"/>
        <w:rPr>
          <w:rFonts w:hint="eastAsia" w:ascii="Arial" w:hAnsi="Arial" w:eastAsia="微软雅黑" w:cstheme="minorBidi"/>
          <w:b w:val="0"/>
          <w:kern w:val="2"/>
          <w:sz w:val="24"/>
          <w:szCs w:val="24"/>
          <w:lang w:val="en-US" w:eastAsia="zh-CN" w:bidi="ar-SA"/>
        </w:rPr>
      </w:pPr>
      <w:r>
        <w:rPr>
          <w:rFonts w:hint="eastAsia" w:ascii="Arial" w:hAnsi="Arial" w:eastAsia="微软雅黑" w:cstheme="minorBidi"/>
          <w:b w:val="0"/>
          <w:kern w:val="2"/>
          <w:sz w:val="24"/>
          <w:szCs w:val="24"/>
          <w:lang w:val="en-US" w:eastAsia="zh-CN" w:bidi="ar-SA"/>
        </w:rPr>
        <w:t>六、技术和服务要求：</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 </w:t>
      </w:r>
      <w:r>
        <w:rPr>
          <w:rFonts w:hint="eastAsia" w:asciiTheme="majorEastAsia" w:hAnsiTheme="majorEastAsia" w:eastAsiaTheme="majorEastAsia" w:cstheme="majorEastAsia"/>
        </w:rPr>
        <w:t>敷设方式：本工程的空调冷热水管道室内吊装敷设、室外无补偿直埋敷设、热交换器及空调变频泵安装。</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2. </w:t>
      </w:r>
      <w:r>
        <w:rPr>
          <w:rFonts w:hint="eastAsia" w:asciiTheme="majorEastAsia" w:hAnsiTheme="majorEastAsia" w:eastAsiaTheme="majorEastAsia" w:cstheme="majorEastAsia"/>
        </w:rPr>
        <w:t>管材</w:t>
      </w: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2.1 </w:t>
      </w:r>
      <w:r>
        <w:rPr>
          <w:rFonts w:hint="eastAsia" w:asciiTheme="majorEastAsia" w:hAnsiTheme="majorEastAsia" w:eastAsiaTheme="majorEastAsia" w:cstheme="majorEastAsia"/>
        </w:rPr>
        <w:t>室外部分</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空调冷、热水管道室外部分管材为预制直埋保温管，其尺寸及材质如下：公称直径DN300，无缝钢管；外护管外径为450mm，外护管可根据采购便利选择聚乙烯材质或玻璃钢材质，聚乙烯外护管壁厚7mm，玻璃钢外护层壁厚3mm。</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2.2</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室内吊装部分</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2.2.1 室内吊装管道需要根据住院综合楼预留开口处开挖后管道现状来决定是否设置。</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2.2.2</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空调冷、热水管道室内部分管材为选无缝钢管，法兰连接；保温材料采用橡塑保温管壳，材料的热工性能为：λ=0.033W/m.K；难燃B1级，氧指数大于32，其烟密度等级≤50，绝热层厚度为36mm；空调保温管道穿墙，穿楼板等处保温层不得间断。</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3. </w:t>
      </w:r>
      <w:r>
        <w:rPr>
          <w:rFonts w:hint="eastAsia" w:asciiTheme="majorEastAsia" w:hAnsiTheme="majorEastAsia" w:eastAsiaTheme="majorEastAsia" w:cstheme="majorEastAsia"/>
        </w:rPr>
        <w:t>板式热交换器</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000000"/>
          <w:shd w:val="clear" w:color="auto" w:fill="FFFFFF"/>
        </w:rPr>
      </w:pPr>
      <w:r>
        <w:rPr>
          <w:rFonts w:hint="eastAsia" w:asciiTheme="majorEastAsia" w:hAnsiTheme="majorEastAsia" w:eastAsiaTheme="majorEastAsia" w:cstheme="majorEastAsia"/>
          <w:color w:val="000000"/>
          <w:shd w:val="clear" w:color="auto" w:fill="FFFFFF"/>
        </w:rPr>
        <w:t>3.1</w:t>
      </w:r>
      <w:r>
        <w:rPr>
          <w:rFonts w:hint="eastAsia" w:asciiTheme="majorEastAsia" w:hAnsiTheme="majorEastAsia" w:eastAsiaTheme="majorEastAsia" w:cstheme="majorEastAsia"/>
          <w:color w:val="000000"/>
          <w:shd w:val="clear" w:color="auto" w:fill="FFFFFF"/>
          <w:lang w:val="en-US" w:eastAsia="zh-CN"/>
        </w:rPr>
        <w:t xml:space="preserve"> </w:t>
      </w:r>
      <w:r>
        <w:rPr>
          <w:rFonts w:hint="eastAsia" w:asciiTheme="majorEastAsia" w:hAnsiTheme="majorEastAsia" w:eastAsiaTheme="majorEastAsia" w:cstheme="majorEastAsia"/>
          <w:color w:val="000000"/>
          <w:shd w:val="clear" w:color="auto" w:fill="FFFFFF"/>
        </w:rPr>
        <w:t>板式换热器的各种板片之间形成薄矩形通道，通过半片进行热量交换。工作流体在两块板片间形成的窄小而曲折的通道中流过。冷热流体依次通过流道，中间有一隔层板片将流体分开，并通过此板片进行换热。</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shd w:val="clear" w:color="auto" w:fill="FFFFFF"/>
        </w:rPr>
        <w:t>3.2</w:t>
      </w:r>
      <w:r>
        <w:rPr>
          <w:rFonts w:hint="eastAsia" w:asciiTheme="majorEastAsia" w:hAnsiTheme="majorEastAsia" w:eastAsiaTheme="majorEastAsia" w:cstheme="majorEastAsia"/>
          <w:color w:val="000000"/>
          <w:shd w:val="clear" w:color="auto" w:fill="FFFFFF"/>
          <w:lang w:val="en-US" w:eastAsia="zh-CN"/>
        </w:rPr>
        <w:t xml:space="preserve"> </w:t>
      </w:r>
      <w:r>
        <w:rPr>
          <w:rFonts w:hint="eastAsia" w:asciiTheme="majorEastAsia" w:hAnsiTheme="majorEastAsia" w:eastAsiaTheme="majorEastAsia" w:cstheme="majorEastAsia"/>
        </w:rPr>
        <w:t>产品设计、制造、检测、试验等应符合但不限于下列相关标准和规范：</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《板式换热器标准》GB 16409-1996《</w:t>
      </w:r>
      <w:r>
        <w:rPr>
          <w:rFonts w:hint="eastAsia" w:asciiTheme="majorEastAsia" w:hAnsiTheme="majorEastAsia" w:eastAsiaTheme="majorEastAsia" w:cstheme="majorEastAsia"/>
          <w:color w:val="000000"/>
        </w:rPr>
        <w:t>密封垫片技术条件</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color w:val="000000"/>
        </w:rPr>
        <w:t>HB 0-78-1972</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333333"/>
        </w:rPr>
      </w:pPr>
      <w:r>
        <w:rPr>
          <w:rFonts w:hint="eastAsia" w:asciiTheme="majorEastAsia" w:hAnsiTheme="majorEastAsia" w:eastAsiaTheme="majorEastAsia" w:cstheme="majorEastAsia"/>
          <w:color w:val="000000"/>
          <w:shd w:val="clear" w:color="auto" w:fill="FFFFFF"/>
        </w:rPr>
        <w:t xml:space="preserve">3.3 </w:t>
      </w:r>
      <w:r>
        <w:rPr>
          <w:rFonts w:hint="eastAsia" w:asciiTheme="majorEastAsia" w:hAnsiTheme="majorEastAsia" w:eastAsiaTheme="majorEastAsia" w:cstheme="majorEastAsia"/>
          <w:color w:val="333333"/>
        </w:rPr>
        <w:t>板式热交换器的额定压力须满足设计的有关要求。试验压力应满足国家相关的规范要求。</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000000"/>
          <w:shd w:val="clear" w:color="auto" w:fill="FFFFFF"/>
        </w:rPr>
      </w:pPr>
      <w:r>
        <w:rPr>
          <w:rFonts w:hint="eastAsia" w:asciiTheme="majorEastAsia" w:hAnsiTheme="majorEastAsia" w:eastAsiaTheme="majorEastAsia" w:cstheme="majorEastAsia"/>
          <w:color w:val="333333"/>
        </w:rPr>
        <w:t>3.4 板式换热器的生产制造须符合ASME及国标的有关要求。</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工艺要求</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4.1 热水管道供、回水顺序排列，按照供热方向依右供左回布置。</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222222"/>
          <w:kern w:val="2"/>
          <w:sz w:val="24"/>
          <w:szCs w:val="24"/>
          <w:shd w:val="clear" w:color="auto" w:fill="FFFFFF"/>
          <w:lang w:val="en-US" w:eastAsia="zh-CN" w:bidi="ar-SA"/>
        </w:rPr>
      </w:pPr>
      <w:r>
        <w:rPr>
          <w:rFonts w:hint="eastAsia" w:asciiTheme="majorEastAsia" w:hAnsiTheme="majorEastAsia" w:eastAsiaTheme="majorEastAsia" w:cstheme="majorEastAsia"/>
        </w:rPr>
        <w:t>4.2 管道沿线</w:t>
      </w:r>
      <w:r>
        <w:rPr>
          <w:rFonts w:hint="eastAsia" w:asciiTheme="majorEastAsia" w:hAnsiTheme="majorEastAsia" w:eastAsiaTheme="majorEastAsia" w:cstheme="majorEastAsia"/>
          <w:color w:val="222222"/>
          <w:kern w:val="2"/>
          <w:sz w:val="24"/>
          <w:szCs w:val="24"/>
          <w:shd w:val="clear" w:color="auto" w:fill="FFFFFF"/>
          <w:lang w:val="en-US" w:eastAsia="zh-CN" w:bidi="ar-SA"/>
        </w:rPr>
        <w:t>检查井、固定墩及管槽，宜采取整体放线、统一开挖，以统筹调整施工中碰到的地下障碍。</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222222"/>
          <w:kern w:val="2"/>
          <w:sz w:val="24"/>
          <w:szCs w:val="24"/>
          <w:shd w:val="clear" w:color="auto" w:fill="FFFFFF"/>
          <w:lang w:val="en-US" w:eastAsia="zh-CN" w:bidi="ar-SA"/>
        </w:rPr>
      </w:pPr>
      <w:r>
        <w:rPr>
          <w:rFonts w:hint="eastAsia" w:asciiTheme="majorEastAsia" w:hAnsiTheme="majorEastAsia" w:eastAsiaTheme="majorEastAsia" w:cstheme="majorEastAsia"/>
          <w:color w:val="222222"/>
          <w:kern w:val="2"/>
          <w:sz w:val="24"/>
          <w:szCs w:val="24"/>
          <w:shd w:val="clear" w:color="auto" w:fill="FFFFFF"/>
          <w:lang w:val="en-US" w:eastAsia="zh-CN" w:bidi="ar-SA"/>
        </w:rPr>
        <w:t>5. 空调变频泵</w:t>
      </w:r>
    </w:p>
    <w:p>
      <w:pPr>
        <w:pStyle w:val="16"/>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222222"/>
          <w:kern w:val="2"/>
          <w:sz w:val="24"/>
          <w:szCs w:val="24"/>
          <w:shd w:val="clear" w:color="auto" w:fill="FFFFFF"/>
          <w:lang w:val="en-US" w:eastAsia="zh-CN" w:bidi="ar-SA"/>
        </w:rPr>
        <w:t>5.1 变频泵可软启动电机</w:t>
      </w:r>
      <w:r>
        <w:rPr>
          <w:rFonts w:hint="eastAsia" w:asciiTheme="majorEastAsia" w:hAnsiTheme="majorEastAsia" w:eastAsiaTheme="majorEastAsia" w:cstheme="majorEastAsia"/>
          <w:color w:val="222222"/>
          <w:shd w:val="clear" w:color="auto" w:fill="FFFFFF"/>
        </w:rPr>
        <w:t>，大大减小冲击电流，降低电机轴承磨损，延长轴承寿命。调节水泵风机流量、压力可直接更改变频器运行频率来完成，可减少或取消挡板、阀门。系统耗电大大下降，噪声减小。若采用温度闭环控制方式，系统可检测环境温度，自动调节风量，随天气、热负荷变化自动调节，温度变化小，调节迅速。系统可现场总线与中央控制室联网，实现集中远程监控。</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6. </w:t>
      </w:r>
      <w:r>
        <w:rPr>
          <w:rFonts w:hint="eastAsia" w:asciiTheme="majorEastAsia" w:hAnsiTheme="majorEastAsia" w:eastAsiaTheme="majorEastAsia" w:cstheme="majorEastAsia"/>
        </w:rPr>
        <w:t>管道焊接</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直埋预制保温管钢管的焊接，必须严格执行国家现行标准《工业金属管道工程施工规范》GB20235-2011、《现场设备、工业管道焊接工程施工规范》GB50236-2011、《城镇供热管网工程施工及验收规范》CJJ28-2004。</w:t>
      </w:r>
    </w:p>
    <w:p>
      <w:pPr>
        <w:pageBreakBefore w:val="0"/>
        <w:numPr>
          <w:ilvl w:val="0"/>
          <w:numId w:val="4"/>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管道阀门设计</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热水管道上的阀门均应选用焊接式，对于公称直径DN≥250mm的阀门，宜采用双偏心金属硬质密封涡轮传动焊接保温蝶阀，对于公称直径DN＜250mm的阀门宜选用手动焊接保温球阀，用于泄水、放气的阀门宜选用手动截止阀。</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7.1 </w:t>
      </w:r>
      <w:r>
        <w:rPr>
          <w:rFonts w:hint="eastAsia" w:asciiTheme="majorEastAsia" w:hAnsiTheme="majorEastAsia" w:eastAsiaTheme="majorEastAsia" w:cstheme="majorEastAsia"/>
        </w:rPr>
        <w:t>泡沫垫的设置</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在管道的转弯处及T型分支处需要加装泡沫垫。泡沫垫由密度150kg/m</w:t>
      </w:r>
      <w:r>
        <w:rPr>
          <w:rFonts w:hint="eastAsia" w:asciiTheme="majorEastAsia" w:hAnsiTheme="majorEastAsia" w:eastAsiaTheme="majorEastAsia" w:cstheme="majorEastAsia"/>
          <w:vertAlign w:val="superscript"/>
        </w:rPr>
        <w:t>3</w:t>
      </w:r>
      <w:r>
        <w:rPr>
          <w:rFonts w:hint="eastAsia" w:asciiTheme="majorEastAsia" w:hAnsiTheme="majorEastAsia" w:eastAsiaTheme="majorEastAsia" w:cstheme="majorEastAsia"/>
        </w:rPr>
        <w:t>的防潮型弹性PUR材质制成。</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7.2 </w:t>
      </w:r>
      <w:r>
        <w:rPr>
          <w:rFonts w:hint="eastAsia" w:asciiTheme="majorEastAsia" w:hAnsiTheme="majorEastAsia" w:eastAsiaTheme="majorEastAsia" w:cstheme="majorEastAsia"/>
        </w:rPr>
        <w:t>试压</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试压标准取强度试验标准。试验压力为工作压力的1.5倍，试验压力取值为1.50MPa。水压试验前固定墩必须能承受设计推力，且固定墩及补偿器两侧10m以内管线覆土完毕，以防拉坏补偿器。</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管网清洗</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最小清洗流速应不小于1.5m/s，并应以系统能达到的最大流速和压力进行清洗。</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管网试运行</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试运行应在管网工程全部竣工并经过初步验收合格，管网试压、清洗合格，热源工程已具备供热运行条件后进行。</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工期要求：自合同签订之日起30日历天内完成。</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建筑材料临时堆放位置由甲方指定。</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服从甲方要求管理，即时清运废弃物。</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施工前需填写《施工证申请表》。</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验收标准：建筑工程施工质量验收统一标准GB50300-2013及各专业工程施工质量验收规范。</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附件:</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15.1 </w:t>
      </w:r>
      <w:r>
        <w:rPr>
          <w:rFonts w:hint="eastAsia" w:asciiTheme="majorEastAsia" w:hAnsiTheme="majorEastAsia" w:eastAsiaTheme="majorEastAsia" w:cstheme="majorEastAsia"/>
        </w:rPr>
        <w:t>丹阳市人民医院门诊楼空调入户管线改造项目（空调供回水泵及热交换器改造安装）工程量清单说明</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15.2 </w:t>
      </w:r>
      <w:r>
        <w:rPr>
          <w:rFonts w:hint="eastAsia" w:asciiTheme="majorEastAsia" w:hAnsiTheme="majorEastAsia" w:eastAsiaTheme="majorEastAsia" w:cstheme="majorEastAsia"/>
        </w:rPr>
        <w:t>丹阳市人民医院门诊楼空调入户管线改造项目（空调供回水泵及热交换器改造安装）工程量清单</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FF0000"/>
        </w:rPr>
      </w:pPr>
      <w:r>
        <w:rPr>
          <w:rFonts w:hint="eastAsia" w:asciiTheme="majorEastAsia" w:hAnsiTheme="majorEastAsia" w:eastAsiaTheme="majorEastAsia" w:cstheme="majorEastAsia"/>
          <w:lang w:val="en-US" w:eastAsia="zh-CN"/>
        </w:rPr>
        <w:t xml:space="preserve">15.3 </w:t>
      </w:r>
      <w:r>
        <w:rPr>
          <w:rFonts w:hint="eastAsia" w:asciiTheme="majorEastAsia" w:hAnsiTheme="majorEastAsia" w:eastAsiaTheme="majorEastAsia" w:cstheme="majorEastAsia"/>
        </w:rPr>
        <w:t>丹阳市人民医院门诊楼空调入户管线改造项目（空调供回水泵及热交换器改造安装）图纸</w:t>
      </w:r>
    </w:p>
    <w:p>
      <w:pPr>
        <w:pStyle w:val="5"/>
        <w:numPr>
          <w:ilvl w:val="3"/>
          <w:numId w:val="0"/>
        </w:numPr>
        <w:jc w:val="left"/>
        <w:rPr>
          <w:rFonts w:hint="eastAsia"/>
          <w:lang w:val="en-US" w:eastAsia="zh-CN"/>
        </w:rPr>
      </w:pPr>
      <w:r>
        <w:rPr>
          <w:rFonts w:hint="eastAsia"/>
          <w:lang w:val="en-US" w:eastAsia="zh-CN"/>
        </w:rPr>
        <w:t>七</w:t>
      </w:r>
      <w:r>
        <w:rPr>
          <w:rFonts w:hint="eastAsia"/>
        </w:rPr>
        <w:t>、</w:t>
      </w:r>
      <w:r>
        <w:rPr>
          <w:rFonts w:hint="eastAsia"/>
          <w:lang w:val="en-US" w:eastAsia="zh-CN"/>
        </w:rPr>
        <w:t>商务要求</w:t>
      </w:r>
    </w:p>
    <w:tbl>
      <w:tblPr>
        <w:tblStyle w:val="17"/>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pPr>
            <w:r>
              <w:t>标的</w:t>
            </w:r>
            <w:r>
              <w:rPr>
                <w:rFonts w:hint="eastAsia"/>
              </w:rPr>
              <w:t>完成</w:t>
            </w:r>
            <w:r>
              <w:t>时间</w:t>
            </w:r>
          </w:p>
        </w:tc>
        <w:tc>
          <w:tcPr>
            <w:tcW w:w="3871" w:type="pct"/>
            <w:vAlign w:val="center"/>
          </w:tcPr>
          <w:p>
            <w:pPr>
              <w:jc w:val="both"/>
            </w:pPr>
            <w:r>
              <w:t>自合同签订之日起</w:t>
            </w:r>
            <w:r>
              <w:rPr>
                <w:rFonts w:hint="eastAsia"/>
                <w:lang w:val="en-US" w:eastAsia="zh-CN"/>
              </w:rPr>
              <w:t>30日历天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标的提供的地点</w:t>
            </w:r>
          </w:p>
        </w:tc>
        <w:tc>
          <w:tcPr>
            <w:tcW w:w="3871" w:type="pct"/>
            <w:vAlign w:val="center"/>
          </w:tcPr>
          <w:p>
            <w:pPr>
              <w:jc w:val="both"/>
              <w:rPr>
                <w:rFonts w:ascii="宋体" w:hAnsi="宋体" w:eastAsia="宋体" w:cs="宋体"/>
              </w:rPr>
            </w:pPr>
            <w:r>
              <w:rPr>
                <w:rFonts w:hint="eastAsia" w:ascii="宋体" w:hAnsi="宋体" w:eastAsia="宋体" w:cs="宋体"/>
              </w:rPr>
              <w:t>丹阳市人民医院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验收标准</w:t>
            </w:r>
          </w:p>
        </w:tc>
        <w:tc>
          <w:tcPr>
            <w:tcW w:w="3871" w:type="pct"/>
            <w:vAlign w:val="center"/>
          </w:tcPr>
          <w:p>
            <w:pPr>
              <w:jc w:val="both"/>
              <w:rPr>
                <w:rFonts w:ascii="宋体" w:hAnsi="宋体" w:eastAsia="宋体" w:cs="宋体"/>
              </w:rPr>
            </w:pPr>
            <w:r>
              <w:rPr>
                <w:rFonts w:hint="eastAsia" w:ascii="宋体" w:hAnsi="宋体" w:eastAsia="宋体" w:cs="宋体"/>
                <w:lang w:val="en-US" w:eastAsia="zh-CN"/>
              </w:rPr>
              <w:t>按</w:t>
            </w:r>
            <w:r>
              <w:rPr>
                <w:rFonts w:hint="eastAsia" w:ascii="宋体" w:hAnsi="宋体" w:eastAsia="宋体" w:cs="宋体"/>
              </w:rPr>
              <w:t>技术参数要求验收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付款方式</w:t>
            </w:r>
          </w:p>
        </w:tc>
        <w:tc>
          <w:tcPr>
            <w:tcW w:w="3871" w:type="pct"/>
            <w:vAlign w:val="center"/>
          </w:tcPr>
          <w:p>
            <w:pPr>
              <w:jc w:val="both"/>
              <w:rPr>
                <w:rFonts w:hint="eastAsia" w:ascii="宋体" w:hAnsi="宋体" w:eastAsia="宋体" w:cs="宋体"/>
                <w:lang w:eastAsia="zh-CN"/>
              </w:rPr>
            </w:pPr>
            <w:r>
              <w:rPr>
                <w:rFonts w:hint="eastAsia" w:ascii="宋体" w:hAnsi="宋体" w:eastAsia="宋体" w:cs="宋体"/>
                <w:lang w:eastAsia="zh-CN"/>
              </w:rPr>
              <w:t>工程审计结束后按审计报告和合同付 80%，一年后付 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hint="eastAsia" w:ascii="宋体" w:hAnsi="宋体" w:eastAsia="宋体" w:cs="宋体"/>
              </w:rPr>
            </w:pPr>
            <w:r>
              <w:rPr>
                <w:rFonts w:hint="eastAsia"/>
              </w:rPr>
              <w:t>质保期</w:t>
            </w:r>
          </w:p>
        </w:tc>
        <w:tc>
          <w:tcPr>
            <w:tcW w:w="3871" w:type="pct"/>
            <w:vAlign w:val="center"/>
          </w:tcPr>
          <w:p>
            <w:pPr>
              <w:jc w:val="both"/>
              <w:rPr>
                <w:rFonts w:hint="eastAsia" w:ascii="宋体" w:hAnsi="宋体" w:eastAsia="宋体" w:cs="宋体"/>
              </w:rPr>
            </w:pPr>
            <w:r>
              <w:rPr>
                <w:rFonts w:hint="eastAsia"/>
              </w:rPr>
              <w:t>验收合格后1年。</w:t>
            </w:r>
          </w:p>
        </w:tc>
      </w:tr>
    </w:tbl>
    <w:p/>
    <w:p>
      <w:pPr>
        <w:pStyle w:val="5"/>
        <w:numPr>
          <w:ilvl w:val="3"/>
          <w:numId w:val="0"/>
        </w:numPr>
        <w:jc w:val="left"/>
      </w:pPr>
      <w:r>
        <w:rPr>
          <w:rFonts w:hint="eastAsia"/>
          <w:lang w:val="en-US" w:eastAsia="zh-CN"/>
        </w:rPr>
        <w:t>八</w:t>
      </w:r>
      <w:r>
        <w:rPr>
          <w:rFonts w:hint="eastAsia"/>
        </w:rPr>
        <w:t>、招标时间及地点</w:t>
      </w:r>
    </w:p>
    <w:p>
      <w:pPr>
        <w:rPr>
          <w:rFonts w:ascii="宋体" w:hAnsi="宋体" w:cs="宋体"/>
          <w:bCs/>
        </w:rPr>
      </w:pPr>
      <w:r>
        <w:rPr>
          <w:rFonts w:hint="eastAsia" w:ascii="宋体" w:hAnsi="宋体" w:cs="宋体"/>
          <w:bCs/>
          <w:lang w:val="en-US" w:eastAsia="zh-CN"/>
        </w:rPr>
        <w:t>8</w:t>
      </w:r>
      <w:r>
        <w:rPr>
          <w:rFonts w:hint="eastAsia" w:ascii="宋体" w:hAnsi="宋体" w:cs="宋体"/>
          <w:bCs/>
        </w:rPr>
        <w:t>.1 开标时间：医院通知；</w:t>
      </w:r>
    </w:p>
    <w:p>
      <w:pPr>
        <w:rPr>
          <w:rFonts w:ascii="宋体" w:hAnsi="宋体" w:cs="宋体"/>
          <w:bCs/>
        </w:rPr>
      </w:pPr>
      <w:r>
        <w:rPr>
          <w:rFonts w:hint="eastAsia" w:ascii="宋体" w:hAnsi="宋体" w:cs="宋体"/>
          <w:bCs/>
          <w:lang w:val="en-US" w:eastAsia="zh-CN"/>
        </w:rPr>
        <w:t>8</w:t>
      </w:r>
      <w:r>
        <w:rPr>
          <w:rFonts w:hint="eastAsia" w:ascii="宋体" w:hAnsi="宋体" w:cs="宋体"/>
          <w:bCs/>
        </w:rPr>
        <w:t>.2 招标地点：院内会议室；</w:t>
      </w:r>
    </w:p>
    <w:p>
      <w:pPr>
        <w:rPr>
          <w:rFonts w:hint="eastAsia" w:ascii="宋体" w:hAnsi="宋体" w:eastAsia="宋体" w:cs="宋体"/>
          <w:bCs/>
          <w:lang w:eastAsia="zh-CN"/>
        </w:rPr>
      </w:pPr>
      <w:r>
        <w:rPr>
          <w:rFonts w:hint="eastAsia" w:ascii="宋体" w:hAnsi="宋体" w:cs="宋体"/>
          <w:bCs/>
          <w:lang w:val="en-US" w:eastAsia="zh-CN"/>
        </w:rPr>
        <w:t>8</w:t>
      </w:r>
      <w:r>
        <w:rPr>
          <w:rFonts w:hint="eastAsia" w:ascii="宋体" w:hAnsi="宋体" w:cs="宋体"/>
          <w:bCs/>
        </w:rPr>
        <w:t>.3 招标方式：竞争性</w:t>
      </w:r>
      <w:r>
        <w:rPr>
          <w:rFonts w:hint="eastAsia" w:ascii="宋体" w:hAnsi="宋体" w:cs="宋体"/>
          <w:bCs/>
          <w:lang w:val="en-US" w:eastAsia="zh-CN"/>
        </w:rPr>
        <w:t>磋商</w:t>
      </w:r>
      <w:bookmarkStart w:id="9" w:name="_GoBack"/>
      <w:bookmarkEnd w:id="9"/>
      <w:r>
        <w:rPr>
          <w:rFonts w:hint="eastAsia" w:ascii="宋体" w:hAnsi="宋体" w:cs="宋体"/>
          <w:bCs/>
          <w:lang w:eastAsia="zh-CN"/>
        </w:rPr>
        <w:t>；</w:t>
      </w:r>
    </w:p>
    <w:p>
      <w:pPr>
        <w:rPr>
          <w:rFonts w:hint="eastAsia" w:ascii="宋体" w:hAnsi="宋体" w:cs="宋体"/>
          <w:bCs/>
        </w:rPr>
      </w:pPr>
      <w:r>
        <w:rPr>
          <w:rFonts w:hint="eastAsia" w:ascii="宋体" w:hAnsi="宋体" w:cs="宋体"/>
          <w:bCs/>
          <w:lang w:val="en-US" w:eastAsia="zh-CN"/>
        </w:rPr>
        <w:t>8</w:t>
      </w:r>
      <w:r>
        <w:rPr>
          <w:rFonts w:hint="eastAsia" w:ascii="宋体" w:hAnsi="宋体" w:cs="宋体"/>
          <w:bCs/>
        </w:rPr>
        <w:t>.4 投标文件</w:t>
      </w:r>
      <w:r>
        <w:rPr>
          <w:rFonts w:hint="eastAsia" w:ascii="宋体" w:hAnsi="宋体" w:cs="宋体"/>
          <w:bCs/>
          <w:lang w:val="en-US" w:eastAsia="zh-CN"/>
        </w:rPr>
        <w:t>1式3份</w:t>
      </w:r>
      <w:r>
        <w:rPr>
          <w:rFonts w:hint="eastAsia" w:ascii="宋体" w:hAnsi="宋体" w:cs="宋体"/>
          <w:bCs/>
        </w:rPr>
        <w:t>，开标时提供（格式参见第二部分）。</w:t>
      </w:r>
    </w:p>
    <w:p>
      <w:pPr>
        <w:rPr>
          <w:rFonts w:hint="default" w:ascii="宋体" w:hAnsi="宋体" w:eastAsia="宋体" w:cs="宋体"/>
          <w:bCs/>
          <w:lang w:val="en-US" w:eastAsia="zh-CN"/>
        </w:rPr>
      </w:pPr>
      <w:r>
        <w:rPr>
          <w:rFonts w:hint="eastAsia" w:ascii="宋体" w:hAnsi="宋体" w:cs="宋体"/>
          <w:bCs/>
          <w:lang w:val="en-US" w:eastAsia="zh-CN"/>
        </w:rPr>
        <w:t>8.5 评标费1200元由中标人支付。</w:t>
      </w:r>
    </w:p>
    <w:p>
      <w:pPr>
        <w:rPr>
          <w:rFonts w:ascii="宋体" w:hAnsi="宋体" w:cs="宋体"/>
          <w:bCs/>
        </w:rPr>
      </w:pPr>
    </w:p>
    <w:p>
      <w:pPr>
        <w:pStyle w:val="5"/>
        <w:numPr>
          <w:ilvl w:val="3"/>
          <w:numId w:val="0"/>
        </w:numPr>
        <w:jc w:val="left"/>
      </w:pPr>
      <w:r>
        <w:rPr>
          <w:rFonts w:hint="eastAsia"/>
          <w:lang w:val="en-US" w:eastAsia="zh-CN"/>
        </w:rPr>
        <w:t>九</w:t>
      </w:r>
      <w:r>
        <w:rPr>
          <w:rFonts w:hint="eastAsia"/>
        </w:rPr>
        <w:t>、投标人报名时提交材料</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r>
        <w:rPr>
          <w:rFonts w:hint="eastAsia"/>
        </w:rPr>
        <w:br w:type="page"/>
      </w:r>
    </w:p>
    <w:p>
      <w:pPr>
        <w:pStyle w:val="5"/>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2"/>
        <w:rPr>
          <w:sz w:val="32"/>
          <w:szCs w:val="32"/>
        </w:rPr>
      </w:pPr>
    </w:p>
    <w:p>
      <w:pPr>
        <w:jc w:val="center"/>
        <w:rPr>
          <w:rFonts w:hint="eastAsia"/>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丹阳市人民医院门诊楼板式换热工程项目</w:t>
      </w:r>
    </w:p>
    <w:p>
      <w:pPr>
        <w:jc w:val="center"/>
        <w:rPr>
          <w:rFonts w:hint="eastAsia" w:eastAsia="宋体"/>
          <w:sz w:val="32"/>
          <w:szCs w:val="32"/>
          <w:lang w:eastAsia="zh-CN"/>
        </w:rPr>
      </w:pPr>
      <w:r>
        <w:rPr>
          <w:rFonts w:hint="eastAsia"/>
          <w:sz w:val="32"/>
          <w:szCs w:val="32"/>
          <w:lang w:eastAsia="zh-CN"/>
        </w:rPr>
        <w:t>（空调供回水及热交换器改造安装）</w:t>
      </w:r>
    </w:p>
    <w:p>
      <w:pPr>
        <w:snapToGrid w:val="0"/>
        <w:spacing w:line="396" w:lineRule="atLeast"/>
        <w:ind w:firstLine="1546"/>
        <w:jc w:val="center"/>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DRY-CG-2023033</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2"/>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1"/>
        <w:ind w:firstLine="562"/>
        <w:rPr>
          <w:rFonts w:ascii="宋体" w:hAnsi="宋体"/>
          <w:b/>
          <w:sz w:val="28"/>
          <w:szCs w:val="28"/>
        </w:rPr>
      </w:pPr>
    </w:p>
    <w:p>
      <w:pPr>
        <w:pStyle w:val="2"/>
        <w:numPr>
          <w:ilvl w:val="0"/>
          <w:numId w:val="0"/>
        </w:numPr>
        <w:spacing w:before="120" w:after="120"/>
        <w:jc w:val="both"/>
        <w:rPr>
          <w:rFonts w:hint="default" w:cs="宋体"/>
          <w:sz w:val="32"/>
          <w:szCs w:val="32"/>
        </w:rPr>
      </w:pPr>
      <w:bookmarkStart w:id="0" w:name="_Toc9147"/>
    </w:p>
    <w:p/>
    <w:p>
      <w:pPr>
        <w:pStyle w:val="2"/>
        <w:numPr>
          <w:ilvl w:val="0"/>
          <w:numId w:val="0"/>
        </w:numPr>
        <w:spacing w:before="120" w:after="120"/>
        <w:jc w:val="both"/>
        <w:rPr>
          <w:rFonts w:hint="default" w:cs="宋体"/>
          <w:sz w:val="32"/>
          <w:szCs w:val="32"/>
        </w:rPr>
      </w:pPr>
    </w:p>
    <w:bookmarkEnd w:id="0"/>
    <w:p>
      <w:pPr>
        <w:pStyle w:val="3"/>
        <w:numPr>
          <w:ilvl w:val="1"/>
          <w:numId w:val="0"/>
        </w:numPr>
        <w:ind w:leftChars="0"/>
        <w:jc w:val="center"/>
      </w:pPr>
      <w:r>
        <w:rPr>
          <w:rFonts w:hint="eastAsia"/>
        </w:rPr>
        <w:t>投标文件目录</w:t>
      </w:r>
    </w:p>
    <w:p>
      <w:pPr>
        <w:numPr>
          <w:ilvl w:val="0"/>
          <w:numId w:val="5"/>
        </w:numPr>
        <w:spacing w:line="360" w:lineRule="auto"/>
        <w:rPr>
          <w:rFonts w:ascii="宋体" w:hAnsi="宋体" w:eastAsia="宋体" w:cs="宋体"/>
        </w:rPr>
      </w:pPr>
      <w:r>
        <w:rPr>
          <w:rFonts w:hint="eastAsia" w:ascii="宋体" w:hAnsi="宋体" w:eastAsia="宋体" w:cs="宋体"/>
        </w:rPr>
        <w:t>投标函</w:t>
      </w:r>
    </w:p>
    <w:p>
      <w:pPr>
        <w:numPr>
          <w:ilvl w:val="0"/>
          <w:numId w:val="5"/>
        </w:numPr>
        <w:spacing w:line="360" w:lineRule="auto"/>
        <w:rPr>
          <w:rFonts w:ascii="宋体" w:hAnsi="宋体" w:eastAsia="宋体" w:cs="宋体"/>
        </w:rPr>
      </w:pPr>
      <w:r>
        <w:rPr>
          <w:rFonts w:hint="eastAsia" w:ascii="宋体" w:hAnsi="宋体" w:eastAsia="宋体" w:cs="宋体"/>
        </w:rPr>
        <w:t>首次报价一览表</w:t>
      </w:r>
    </w:p>
    <w:p>
      <w:pPr>
        <w:numPr>
          <w:ilvl w:val="0"/>
          <w:numId w:val="5"/>
        </w:numPr>
        <w:spacing w:line="360" w:lineRule="auto"/>
        <w:rPr>
          <w:rFonts w:ascii="宋体" w:hAnsi="宋体" w:eastAsia="宋体" w:cs="宋体"/>
        </w:rPr>
      </w:pPr>
      <w:r>
        <w:rPr>
          <w:rFonts w:hint="eastAsia" w:ascii="宋体" w:hAnsi="宋体" w:eastAsia="宋体" w:cs="宋体"/>
        </w:rPr>
        <w:t>法定代表人身份证明书</w:t>
      </w:r>
    </w:p>
    <w:p>
      <w:pPr>
        <w:numPr>
          <w:ilvl w:val="0"/>
          <w:numId w:val="5"/>
        </w:numPr>
        <w:spacing w:line="360" w:lineRule="auto"/>
        <w:rPr>
          <w:rFonts w:ascii="宋体" w:hAnsi="宋体" w:eastAsia="宋体" w:cs="宋体"/>
        </w:rPr>
      </w:pPr>
      <w:r>
        <w:rPr>
          <w:rFonts w:hint="eastAsia" w:ascii="宋体" w:hAnsi="宋体" w:eastAsia="宋体" w:cs="宋体"/>
        </w:rPr>
        <w:t>法定代表人授权委托书</w:t>
      </w:r>
    </w:p>
    <w:p>
      <w:pPr>
        <w:numPr>
          <w:ilvl w:val="0"/>
          <w:numId w:val="5"/>
        </w:numPr>
        <w:spacing w:line="360" w:lineRule="auto"/>
        <w:rPr>
          <w:rFonts w:ascii="宋体" w:hAnsi="宋体" w:eastAsia="宋体" w:cs="宋体"/>
        </w:rPr>
      </w:pPr>
      <w:r>
        <w:rPr>
          <w:rFonts w:hint="eastAsia" w:ascii="宋体" w:hAnsi="宋体" w:eastAsia="宋体" w:cs="宋体"/>
        </w:rPr>
        <w:t>资格审查资料</w:t>
      </w:r>
    </w:p>
    <w:p>
      <w:pPr>
        <w:numPr>
          <w:ilvl w:val="0"/>
          <w:numId w:val="5"/>
        </w:numPr>
        <w:spacing w:line="360" w:lineRule="auto"/>
        <w:rPr>
          <w:rFonts w:ascii="宋体" w:hAnsi="宋体" w:eastAsia="宋体" w:cs="宋体"/>
        </w:rPr>
      </w:pPr>
      <w:r>
        <w:rPr>
          <w:rFonts w:hint="eastAsia" w:ascii="宋体" w:hAnsi="宋体" w:eastAsia="宋体" w:cs="宋体"/>
        </w:rPr>
        <w:t>技术和服务要求响应偏离表</w:t>
      </w:r>
    </w:p>
    <w:p>
      <w:pPr>
        <w:numPr>
          <w:ilvl w:val="0"/>
          <w:numId w:val="5"/>
        </w:numPr>
        <w:spacing w:line="360" w:lineRule="auto"/>
        <w:rPr>
          <w:rFonts w:ascii="宋体" w:hAnsi="宋体" w:eastAsia="宋体" w:cs="宋体"/>
        </w:rPr>
      </w:pPr>
      <w:r>
        <w:rPr>
          <w:rFonts w:hint="eastAsia" w:ascii="宋体" w:hAnsi="宋体" w:eastAsia="宋体" w:cs="宋体"/>
        </w:rPr>
        <w:t>商务条件响应偏离表</w:t>
      </w:r>
    </w:p>
    <w:p>
      <w:pPr>
        <w:numPr>
          <w:ilvl w:val="0"/>
          <w:numId w:val="5"/>
        </w:numPr>
        <w:spacing w:line="360" w:lineRule="auto"/>
        <w:rPr>
          <w:rFonts w:ascii="宋体" w:hAnsi="宋体" w:eastAsia="宋体" w:cs="宋体"/>
        </w:rPr>
      </w:pPr>
      <w:r>
        <w:rPr>
          <w:rFonts w:hint="eastAsia" w:ascii="宋体" w:hAnsi="宋体" w:eastAsia="宋体" w:cs="宋体"/>
        </w:rPr>
        <w:t>项目实施方案、质量保证及售后服务承诺等</w:t>
      </w:r>
    </w:p>
    <w:p>
      <w:pPr>
        <w:ind w:firstLine="480"/>
        <w:rPr>
          <w:rFonts w:ascii="宋体" w:hAnsi="宋体" w:eastAsia="宋体" w:cs="宋体"/>
        </w:rPr>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4"/>
        <w:numPr>
          <w:ilvl w:val="2"/>
          <w:numId w:val="0"/>
        </w:numPr>
        <w:ind w:leftChars="0"/>
        <w:jc w:val="center"/>
        <w:rPr>
          <w:rFonts w:ascii="宋体" w:hAnsi="宋体" w:eastAsia="宋体" w:cs="宋体"/>
        </w:rPr>
      </w:pPr>
      <w:r>
        <w:rPr>
          <w:rFonts w:hint="eastAsia" w:ascii="宋体" w:hAnsi="宋体" w:eastAsia="宋体" w:cs="宋体"/>
        </w:rPr>
        <w:t>一、投标函</w:t>
      </w:r>
    </w:p>
    <w:p>
      <w:pPr>
        <w:spacing w:line="360" w:lineRule="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rPr>
        <w:t>丹阳市人民医院</w:t>
      </w:r>
      <w:r>
        <w:rPr>
          <w:rFonts w:hint="eastAsia" w:ascii="宋体" w:hAnsi="宋体" w:cs="宋体"/>
          <w:u w:val="single"/>
          <w:lang w:eastAsia="zh-CN"/>
        </w:rPr>
        <w:t>门诊楼板式换热工程</w:t>
      </w:r>
      <w:r>
        <w:rPr>
          <w:rFonts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项目文件的全部内容，愿意以人民币（大写）</w:t>
      </w:r>
      <w:r>
        <w:rPr>
          <w:rFonts w:hint="eastAsia" w:ascii="宋体" w:hAnsi="宋体" w:eastAsia="宋体" w:cs="宋体"/>
          <w:u w:val="single"/>
        </w:rPr>
        <w:t xml:space="preserve">           </w:t>
      </w:r>
      <w:r>
        <w:rPr>
          <w:rFonts w:hint="eastAsia" w:ascii="宋体" w:hAnsi="宋体" w:eastAsia="宋体" w:cs="宋体"/>
        </w:rPr>
        <w:t>（￥</w:t>
      </w:r>
      <w:r>
        <w:rPr>
          <w:rFonts w:ascii="宋体" w:hAnsi="宋体" w:eastAsia="宋体" w:cs="宋体"/>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 元）的投标总报价，并将按招标文件的规定履行合同责任和义务，实现工程目的。</w:t>
      </w:r>
    </w:p>
    <w:p>
      <w:pPr>
        <w:spacing w:line="360" w:lineRule="auto"/>
        <w:rPr>
          <w:rFonts w:ascii="宋体" w:hAnsi="宋体" w:eastAsia="宋体" w:cs="宋体"/>
        </w:rPr>
      </w:pPr>
      <w:r>
        <w:rPr>
          <w:rFonts w:hint="eastAsia" w:ascii="宋体" w:hAnsi="宋体" w:eastAsia="宋体" w:cs="宋体"/>
        </w:rPr>
        <w:t>2．我方承诺在招标文件规定的投标有效期内不修改、撤销投标文件。</w:t>
      </w:r>
    </w:p>
    <w:p>
      <w:pPr>
        <w:spacing w:line="360" w:lineRule="auto"/>
        <w:rPr>
          <w:rFonts w:ascii="宋体" w:hAnsi="宋体" w:eastAsia="宋体" w:cs="宋体"/>
        </w:rPr>
      </w:pPr>
      <w:r>
        <w:rPr>
          <w:rFonts w:hint="eastAsia" w:ascii="宋体" w:hAnsi="宋体" w:eastAsia="宋体" w:cs="宋体"/>
        </w:rPr>
        <w:t>3．如果我方中标，将派出</w:t>
      </w:r>
      <w:r>
        <w:rPr>
          <w:rFonts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spacing w:line="360" w:lineRule="auto"/>
        <w:rPr>
          <w:rFonts w:ascii="宋体" w:hAnsi="宋体" w:eastAsia="宋体" w:cs="宋体"/>
        </w:rPr>
      </w:pPr>
      <w:r>
        <w:rPr>
          <w:rFonts w:hint="eastAsia" w:ascii="宋体" w:hAnsi="宋体" w:eastAsia="宋体" w:cs="宋体"/>
        </w:rPr>
        <w:t>4．如我方中标：</w:t>
      </w:r>
    </w:p>
    <w:p>
      <w:pPr>
        <w:spacing w:line="360" w:lineRule="auto"/>
        <w:rPr>
          <w:rFonts w:ascii="宋体" w:hAnsi="宋体" w:eastAsia="宋体" w:cs="宋体"/>
        </w:rPr>
      </w:pPr>
      <w:r>
        <w:rPr>
          <w:rFonts w:hint="eastAsia" w:ascii="宋体" w:hAnsi="宋体" w:eastAsia="宋体" w:cs="宋体"/>
        </w:rPr>
        <w:t>(l）我方承诺在收到中标通知后，在规定的期限内与你方签订合同。</w:t>
      </w:r>
    </w:p>
    <w:p>
      <w:pPr>
        <w:spacing w:line="360" w:lineRule="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spacing w:line="360" w:lineRule="auto"/>
        <w:rPr>
          <w:rFonts w:ascii="宋体" w:hAnsi="宋体" w:eastAsia="宋体" w:cs="宋体"/>
        </w:rPr>
      </w:pPr>
      <w:r>
        <w:rPr>
          <w:rFonts w:hint="eastAsia" w:ascii="宋体" w:hAnsi="宋体" w:eastAsia="宋体" w:cs="宋体"/>
        </w:rPr>
        <w:t>5.</w:t>
      </w:r>
      <w:r>
        <w:rPr>
          <w:rFonts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     ）。</w:t>
      </w:r>
    </w:p>
    <w:p>
      <w:pPr>
        <w:spacing w:line="360" w:lineRule="auto"/>
        <w:rPr>
          <w:rFonts w:ascii="宋体" w:hAnsi="宋体" w:eastAsia="宋体" w:cs="宋体"/>
        </w:rPr>
      </w:pPr>
      <w:r>
        <w:rPr>
          <w:rFonts w:hint="eastAsia" w:ascii="宋体" w:hAnsi="宋体" w:eastAsia="宋体" w:cs="宋体"/>
        </w:rPr>
        <w:t> </w:t>
      </w:r>
    </w:p>
    <w:p>
      <w:pPr>
        <w:spacing w:line="360" w:lineRule="auto"/>
        <w:jc w:val="left"/>
        <w:rPr>
          <w:rFonts w:ascii="宋体" w:hAnsi="宋体" w:eastAsia="宋体" w:cs="宋体"/>
        </w:rPr>
      </w:pPr>
      <w:r>
        <w:rPr>
          <w:rFonts w:hint="eastAsia" w:ascii="宋体" w:hAnsi="宋体" w:eastAsia="宋体" w:cs="宋体"/>
        </w:rPr>
        <w:t xml:space="preserve">                        投标供应商(公章)：   </w:t>
      </w:r>
    </w:p>
    <w:p>
      <w:pPr>
        <w:spacing w:line="360" w:lineRule="auto"/>
        <w:jc w:val="left"/>
        <w:rPr>
          <w:rFonts w:ascii="宋体" w:hAnsi="宋体" w:eastAsia="宋体" w:cs="宋体"/>
        </w:rPr>
      </w:pPr>
      <w:r>
        <w:rPr>
          <w:rFonts w:hint="eastAsia" w:ascii="宋体" w:hAnsi="宋体" w:eastAsia="宋体" w:cs="宋体"/>
        </w:rPr>
        <w:t xml:space="preserve">            </w:t>
      </w:r>
    </w:p>
    <w:p>
      <w:pPr>
        <w:spacing w:line="360" w:lineRule="auto"/>
        <w:ind w:firstLine="2880" w:firstLineChars="1200"/>
        <w:jc w:val="left"/>
        <w:rPr>
          <w:rFonts w:ascii="宋体" w:hAnsi="宋体" w:eastAsia="宋体" w:cs="宋体"/>
        </w:rPr>
      </w:pPr>
      <w:r>
        <w:rPr>
          <w:rFonts w:hint="eastAsia" w:ascii="宋体" w:hAnsi="宋体" w:eastAsia="宋体" w:cs="宋体"/>
        </w:rPr>
        <w:t xml:space="preserve">法人代表或授权委托人（签字或印章）：  </w:t>
      </w:r>
    </w:p>
    <w:p>
      <w:pPr>
        <w:spacing w:line="360" w:lineRule="auto"/>
        <w:ind w:firstLine="2880" w:firstLineChars="1200"/>
        <w:jc w:val="left"/>
        <w:rPr>
          <w:rFonts w:ascii="宋体" w:hAnsi="宋体" w:eastAsia="宋体" w:cs="宋体"/>
        </w:rPr>
      </w:pPr>
      <w:r>
        <w:rPr>
          <w:rFonts w:hint="eastAsia" w:ascii="宋体" w:hAnsi="宋体" w:eastAsia="宋体" w:cs="宋体"/>
        </w:rPr>
        <w:t xml:space="preserve">        </w:t>
      </w:r>
    </w:p>
    <w:p>
      <w:pPr>
        <w:spacing w:line="360" w:lineRule="auto"/>
        <w:ind w:firstLine="2880" w:firstLineChars="1200"/>
        <w:jc w:val="left"/>
        <w:rPr>
          <w:rFonts w:ascii="宋体" w:hAnsi="宋体" w:eastAsia="宋体" w:cs="宋体"/>
        </w:rPr>
      </w:pPr>
      <w:r>
        <w:rPr>
          <w:rFonts w:hint="eastAsia" w:ascii="宋体" w:hAnsi="宋体" w:eastAsia="宋体" w:cs="宋体"/>
        </w:rPr>
        <w:t xml:space="preserve">日期：               </w:t>
      </w:r>
    </w:p>
    <w:p>
      <w:pPr>
        <w:snapToGrid w:val="0"/>
        <w:spacing w:line="470" w:lineRule="atLeast"/>
        <w:ind w:left="5680" w:hanging="5074"/>
        <w:rPr>
          <w:rFonts w:ascii="宋体" w:hAnsi="宋体" w:eastAsia="宋体" w:cs="宋体"/>
        </w:rPr>
      </w:pPr>
    </w:p>
    <w:p>
      <w:pPr>
        <w:snapToGrid w:val="0"/>
        <w:spacing w:line="470" w:lineRule="atLeast"/>
        <w:jc w:val="center"/>
        <w:outlineLvl w:val="2"/>
        <w:rPr>
          <w:rStyle w:val="32"/>
          <w:rFonts w:ascii="宋体" w:hAnsi="宋体" w:eastAsia="宋体" w:cs="宋体"/>
        </w:rPr>
      </w:pPr>
      <w:r>
        <w:rPr>
          <w:rFonts w:hint="eastAsia" w:ascii="宋体" w:hAnsi="宋体" w:eastAsia="宋体" w:cs="宋体"/>
        </w:rPr>
        <w:br w:type="page"/>
      </w:r>
      <w:bookmarkStart w:id="1" w:name="_Toc26543"/>
      <w:r>
        <w:rPr>
          <w:rStyle w:val="32"/>
          <w:rFonts w:hint="eastAsia" w:ascii="宋体" w:hAnsi="宋体" w:eastAsia="宋体" w:cs="宋体"/>
        </w:rPr>
        <w:t>二、 首次报价一览表（格式）</w:t>
      </w:r>
      <w:bookmarkEnd w:id="1"/>
    </w:p>
    <w:tbl>
      <w:tblPr>
        <w:tblStyle w:val="17"/>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709"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sz w:val="24"/>
                <w:szCs w:val="24"/>
                <w:lang w:val="en-US"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w:t>
            </w:r>
            <w:r>
              <w:rPr>
                <w:rFonts w:hint="eastAsia"/>
                <w:sz w:val="24"/>
                <w:szCs w:val="24"/>
                <w:lang w:val="en-US" w:eastAsia="zh-CN"/>
              </w:rPr>
              <w:t>门诊楼板式换热工程</w:t>
            </w:r>
          </w:p>
          <w:p>
            <w:pPr>
              <w:pStyle w:val="25"/>
              <w:ind w:firstLine="1200" w:firstLineChars="500"/>
              <w:jc w:val="left"/>
              <w:rPr>
                <w:color w:val="000000"/>
                <w:sz w:val="24"/>
                <w:szCs w:val="24"/>
                <w:lang w:eastAsia="zh-CN"/>
              </w:rPr>
            </w:pPr>
            <w:r>
              <w:rPr>
                <w:rFonts w:hint="eastAsia"/>
                <w:sz w:val="24"/>
                <w:szCs w:val="24"/>
                <w:lang w:val="en-US" w:eastAsia="zh-CN"/>
              </w:rPr>
              <w:t>（</w:t>
            </w:r>
            <w:r>
              <w:rPr>
                <w:rFonts w:hint="eastAsia"/>
                <w:sz w:val="24"/>
                <w:szCs w:val="24"/>
                <w:lang w:eastAsia="zh-CN"/>
              </w:rPr>
              <w:t>空调供回水泵及热交换器改造安装）</w:t>
            </w:r>
          </w:p>
        </w:tc>
      </w:tr>
      <w:tr>
        <w:tblPrEx>
          <w:tblCellMar>
            <w:top w:w="0" w:type="dxa"/>
            <w:left w:w="10" w:type="dxa"/>
            <w:bottom w:w="0" w:type="dxa"/>
            <w:right w:w="10" w:type="dxa"/>
          </w:tblCellMar>
        </w:tblPrEx>
        <w:trPr>
          <w:trHeight w:val="878"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kern w:val="0"/>
                <w:sz w:val="24"/>
                <w:szCs w:val="24"/>
                <w:lang w:val="en-US" w:eastAsia="zh-CN"/>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备注</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pStyle w:val="22"/>
        <w:rPr>
          <w:rFonts w:ascii="宋体" w:hAnsi="宋体" w:eastAsia="宋体" w:cs="宋体"/>
        </w:rPr>
      </w:pPr>
    </w:p>
    <w:p>
      <w:pPr>
        <w:widowControl/>
        <w:jc w:val="left"/>
        <w:rPr>
          <w:rFonts w:ascii="宋体" w:hAnsi="宋体" w:eastAsia="宋体" w:cs="宋体"/>
          <w:color w:val="000000"/>
          <w:kern w:val="0"/>
        </w:rPr>
      </w:pPr>
      <w:r>
        <w:rPr>
          <w:rFonts w:hint="eastAsia" w:ascii="宋体" w:hAnsi="宋体" w:eastAsia="宋体" w:cs="宋体"/>
          <w:color w:val="000000"/>
          <w:kern w:val="0"/>
        </w:rPr>
        <w:t>备注：</w:t>
      </w:r>
    </w:p>
    <w:p>
      <w:pPr>
        <w:widowControl/>
        <w:ind w:right="-94" w:rightChars="-39"/>
        <w:jc w:val="left"/>
        <w:rPr>
          <w:rFonts w:ascii="宋体" w:hAnsi="宋体" w:eastAsia="宋体" w:cs="宋体"/>
          <w:color w:val="000000"/>
          <w:kern w:val="0"/>
        </w:rPr>
      </w:pPr>
      <w:r>
        <w:rPr>
          <w:rFonts w:hint="eastAsia" w:ascii="宋体" w:hAnsi="宋体" w:eastAsia="宋体" w:cs="宋体"/>
          <w:color w:val="000000"/>
          <w:kern w:val="0"/>
        </w:rPr>
        <w:t xml:space="preserve">1.“项目总报价”包括本次招标要求提供的货物（服务）已支付或将支付的所有相关费用； </w:t>
      </w:r>
    </w:p>
    <w:p>
      <w:pPr>
        <w:widowControl/>
        <w:jc w:val="left"/>
        <w:rPr>
          <w:rFonts w:ascii="宋体" w:hAnsi="宋体" w:eastAsia="宋体" w:cs="宋体"/>
          <w:color w:val="000000"/>
          <w:kern w:val="0"/>
        </w:rPr>
      </w:pPr>
      <w:r>
        <w:rPr>
          <w:rFonts w:hint="eastAsia" w:ascii="宋体" w:hAnsi="宋体" w:eastAsia="宋体" w:cs="宋体"/>
          <w:color w:val="000000"/>
          <w:kern w:val="0"/>
        </w:rPr>
        <w:t xml:space="preserve">2.供应商必须据实填具此表，应与响应文件的有关内容一致； </w:t>
      </w:r>
    </w:p>
    <w:p>
      <w:pPr>
        <w:widowControl/>
        <w:jc w:val="left"/>
        <w:rPr>
          <w:rFonts w:ascii="宋体" w:hAnsi="宋体" w:eastAsia="宋体" w:cs="宋体"/>
          <w:color w:val="000000"/>
          <w:kern w:val="0"/>
        </w:rPr>
      </w:pPr>
      <w:r>
        <w:rPr>
          <w:rFonts w:hint="eastAsia" w:ascii="宋体" w:hAnsi="宋体" w:eastAsia="宋体" w:cs="宋体"/>
          <w:color w:val="000000"/>
          <w:kern w:val="0"/>
        </w:rPr>
        <w:t>3.报价保留至小数点后两位，四舍五入。</w:t>
      </w:r>
    </w:p>
    <w:p>
      <w:pPr>
        <w:widowControl/>
        <w:jc w:val="left"/>
        <w:rPr>
          <w:rFonts w:ascii="宋体" w:hAnsi="宋体" w:eastAsia="宋体" w:cs="宋体"/>
          <w:color w:val="000000"/>
          <w:kern w:val="0"/>
        </w:rPr>
      </w:pPr>
      <w:r>
        <w:rPr>
          <w:rFonts w:hint="eastAsia" w:ascii="宋体" w:hAnsi="宋体" w:eastAsia="宋体" w:cs="宋体"/>
          <w:color w:val="000000"/>
          <w:kern w:val="0"/>
        </w:rPr>
        <w:t>4.投标供应商必须据实填写此表，项目报价不得超过预算。</w:t>
      </w:r>
    </w:p>
    <w:p>
      <w:pPr>
        <w:pStyle w:val="11"/>
        <w:ind w:firstLine="560" w:firstLineChars="200"/>
        <w:rPr>
          <w:rFonts w:ascii="宋体" w:hAnsi="宋体" w:eastAsia="宋体" w:cs="宋体"/>
          <w:szCs w:val="24"/>
        </w:rPr>
      </w:pPr>
    </w:p>
    <w:p>
      <w:pPr>
        <w:pStyle w:val="11"/>
        <w:ind w:firstLine="560" w:firstLineChars="200"/>
        <w:rPr>
          <w:rFonts w:ascii="宋体" w:hAnsi="宋体" w:eastAsia="宋体" w:cs="宋体"/>
          <w:szCs w:val="24"/>
        </w:rPr>
      </w:pPr>
    </w:p>
    <w:p>
      <w:pPr>
        <w:pStyle w:val="11"/>
        <w:ind w:firstLine="280" w:firstLineChars="100"/>
        <w:rPr>
          <w:rFonts w:ascii="宋体" w:hAnsi="宋体" w:eastAsia="宋体" w:cs="宋体"/>
          <w:szCs w:val="24"/>
        </w:rPr>
      </w:pPr>
    </w:p>
    <w:p>
      <w:pPr>
        <w:rPr>
          <w:rFonts w:ascii="宋体" w:hAnsi="宋体" w:eastAsia="宋体" w:cs="宋体"/>
          <w:b/>
          <w:bCs/>
          <w:color w:val="000000"/>
        </w:rPr>
      </w:pPr>
      <w:bookmarkStart w:id="2" w:name="_Toc26951"/>
      <w:r>
        <w:rPr>
          <w:rFonts w:hint="eastAsia" w:ascii="宋体" w:hAnsi="宋体" w:eastAsia="宋体" w:cs="宋体"/>
          <w:b/>
          <w:bCs/>
          <w:color w:val="000000"/>
        </w:rPr>
        <w:br w:type="page"/>
      </w:r>
    </w:p>
    <w:p>
      <w:pPr>
        <w:pStyle w:val="4"/>
        <w:numPr>
          <w:ilvl w:val="2"/>
          <w:numId w:val="0"/>
        </w:numPr>
        <w:ind w:leftChars="0"/>
        <w:jc w:val="center"/>
        <w:rPr>
          <w:rFonts w:ascii="宋体" w:hAnsi="宋体" w:eastAsia="宋体" w:cs="宋体"/>
        </w:rPr>
      </w:pPr>
      <w:r>
        <w:rPr>
          <w:rFonts w:hint="eastAsia" w:ascii="宋体" w:hAnsi="宋体" w:eastAsia="宋体" w:cs="宋体"/>
        </w:rPr>
        <w:t>三、法定代表人身份证明</w:t>
      </w:r>
      <w:bookmarkEnd w:id="2"/>
      <w:r>
        <w:rPr>
          <w:rFonts w:hint="eastAsia" w:ascii="宋体" w:hAnsi="宋体" w:eastAsia="宋体" w:cs="宋体"/>
        </w:rPr>
        <w:t>书</w:t>
      </w:r>
    </w:p>
    <w:p>
      <w:pPr>
        <w:pStyle w:val="16"/>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6"/>
        <w:spacing w:line="206" w:lineRule="atLeast"/>
        <w:ind w:firstLine="567"/>
        <w:jc w:val="both"/>
        <w:rPr>
          <w:rFonts w:eastAsia="宋体"/>
          <w:color w:val="000000"/>
          <w:u w:val="single"/>
        </w:rPr>
      </w:pPr>
      <w:r>
        <w:rPr>
          <w:rFonts w:hint="eastAsia" w:eastAsia="宋体"/>
          <w:color w:val="000000"/>
        </w:rPr>
        <w:t>地     址：</w:t>
      </w:r>
      <w:r>
        <w:rPr>
          <w:rFonts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u w:val="single"/>
        </w:rPr>
      </w:pPr>
      <w:r>
        <w:rPr>
          <w:rFonts w:hint="eastAsia" w:eastAsia="宋体"/>
          <w:color w:val="000000"/>
        </w:rPr>
        <w:t>成立时间：</w:t>
      </w:r>
      <w:r>
        <w:rPr>
          <w:rFonts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经营期限：</w:t>
      </w:r>
      <w:r>
        <w:rPr>
          <w:rFonts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rPr>
        <w:t>性      别：</w:t>
      </w:r>
      <w:r>
        <w:rPr>
          <w:rFonts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rPr>
        <w:t>职     务：</w:t>
      </w:r>
      <w:r>
        <w:rPr>
          <w:rFonts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6"/>
        <w:spacing w:line="206" w:lineRule="atLeast"/>
        <w:ind w:firstLine="567"/>
        <w:jc w:val="both"/>
        <w:rPr>
          <w:rFonts w:eastAsia="宋体"/>
          <w:color w:val="000000"/>
        </w:rPr>
      </w:pPr>
      <w:r>
        <w:rPr>
          <w:rFonts w:hint="eastAsia" w:eastAsia="宋体"/>
          <w:color w:val="000000"/>
        </w:rPr>
        <w:t>特此证明。</w:t>
      </w:r>
    </w:p>
    <w:p>
      <w:pPr>
        <w:pStyle w:val="16"/>
        <w:spacing w:line="206" w:lineRule="atLeast"/>
        <w:ind w:firstLine="567"/>
        <w:jc w:val="both"/>
        <w:rPr>
          <w:rFonts w:eastAsia="宋体"/>
          <w:color w:val="000000"/>
        </w:rPr>
      </w:pPr>
    </w:p>
    <w:p>
      <w:pPr>
        <w:pStyle w:val="16"/>
        <w:spacing w:line="206" w:lineRule="atLeast"/>
        <w:ind w:firstLine="567"/>
        <w:jc w:val="center"/>
        <w:rPr>
          <w:rFonts w:eastAsia="宋体"/>
          <w:color w:val="000000"/>
        </w:rPr>
      </w:pPr>
      <w:r>
        <w:rPr>
          <w:rFonts w:hint="eastAsia" w:eastAsia="宋体"/>
          <w:color w:val="000000"/>
        </w:rPr>
        <w:t>投标供应商：</w:t>
      </w:r>
      <w:r>
        <w:rPr>
          <w:rFonts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6"/>
        <w:spacing w:line="206" w:lineRule="atLeast"/>
        <w:ind w:firstLine="567"/>
        <w:jc w:val="center"/>
        <w:rPr>
          <w:rFonts w:eastAsia="宋体"/>
          <w:color w:val="000000"/>
        </w:rPr>
      </w:pPr>
    </w:p>
    <w:p>
      <w:pPr>
        <w:pStyle w:val="16"/>
        <w:spacing w:line="206" w:lineRule="atLeast"/>
        <w:ind w:firstLine="567"/>
        <w:jc w:val="center"/>
        <w:rPr>
          <w:rFonts w:eastAsia="宋体"/>
          <w:color w:val="000000"/>
          <w:u w:val="single"/>
        </w:rPr>
      </w:pPr>
      <w:r>
        <w:rPr>
          <w:rFonts w:hint="eastAsia" w:eastAsia="宋体"/>
          <w:color w:val="000000"/>
        </w:rPr>
        <w:t>日期：</w:t>
      </w:r>
      <w:r>
        <w:rPr>
          <w:rFonts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widowControl/>
        <w:jc w:val="left"/>
        <w:rPr>
          <w:rFonts w:ascii="宋体" w:hAnsi="宋体" w:eastAsia="宋体" w:cs="宋体"/>
        </w:rPr>
      </w:pPr>
      <w:r>
        <w:rPr>
          <w:rFonts w:hint="eastAsia" w:ascii="宋体" w:hAnsi="宋体" w:eastAsia="宋体" w:cs="宋体"/>
          <w:color w:val="000000"/>
          <w:kern w:val="0"/>
        </w:rPr>
        <w:t>注：供应商属于非法人组织的，按照法律、行政法规规定能够对外代表其从事民事活动的主要负责人视同法定代表人。</w:t>
      </w:r>
    </w:p>
    <w:p>
      <w:pPr>
        <w:spacing w:before="240" w:after="60"/>
        <w:rPr>
          <w:rFonts w:ascii="宋体" w:hAnsi="宋体" w:eastAsia="宋体" w:cs="宋体"/>
          <w:b/>
          <w:bCs/>
        </w:rPr>
      </w:pPr>
      <w:bookmarkStart w:id="3" w:name="_Toc10458"/>
    </w:p>
    <w:p>
      <w:pPr>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4"/>
        <w:numPr>
          <w:ilvl w:val="2"/>
          <w:numId w:val="0"/>
        </w:numPr>
        <w:ind w:leftChars="0"/>
        <w:jc w:val="center"/>
        <w:rPr>
          <w:rFonts w:ascii="宋体" w:hAnsi="宋体" w:eastAsia="宋体" w:cs="宋体"/>
        </w:rPr>
      </w:pPr>
      <w:r>
        <w:rPr>
          <w:rFonts w:hint="eastAsia" w:ascii="宋体" w:hAnsi="宋体" w:eastAsia="宋体" w:cs="宋体"/>
        </w:rPr>
        <w:t>四、法定代表人授权委托书</w:t>
      </w:r>
      <w:bookmarkEnd w:id="3"/>
    </w:p>
    <w:p>
      <w:pPr>
        <w:pStyle w:val="16"/>
        <w:spacing w:line="360" w:lineRule="auto"/>
        <w:ind w:firstLine="888" w:firstLineChars="370"/>
        <w:jc w:val="both"/>
        <w:rPr>
          <w:rFonts w:eastAsia="宋体"/>
          <w:color w:val="000000"/>
        </w:rPr>
      </w:pPr>
      <w:r>
        <w:rPr>
          <w:rFonts w:hint="eastAsia" w:eastAsia="宋体"/>
          <w:color w:val="000000"/>
        </w:rPr>
        <w:t>本人</w:t>
      </w:r>
      <w:r>
        <w:rPr>
          <w:rFonts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6"/>
        <w:spacing w:line="206" w:lineRule="atLeast"/>
        <w:ind w:firstLine="1260"/>
        <w:jc w:val="both"/>
        <w:rPr>
          <w:rFonts w:eastAsia="宋体"/>
          <w:color w:val="000000"/>
        </w:rPr>
      </w:pPr>
      <w:r>
        <w:rPr>
          <w:rFonts w:hint="eastAsia" w:eastAsia="宋体"/>
          <w:color w:val="000000"/>
        </w:rPr>
        <w:t>委托期限：</w:t>
      </w:r>
    </w:p>
    <w:p>
      <w:pPr>
        <w:pStyle w:val="16"/>
        <w:spacing w:line="206" w:lineRule="atLeast"/>
        <w:ind w:firstLine="567"/>
        <w:jc w:val="both"/>
        <w:rPr>
          <w:rFonts w:eastAsia="宋体"/>
          <w:color w:val="000000"/>
        </w:rPr>
      </w:pPr>
      <w:r>
        <w:rPr>
          <w:rFonts w:hint="eastAsia" w:eastAsia="宋体"/>
          <w:color w:val="000000"/>
        </w:rPr>
        <w:t>代理人无转委托权。</w:t>
      </w:r>
    </w:p>
    <w:p>
      <w:pPr>
        <w:pStyle w:val="16"/>
        <w:spacing w:line="206" w:lineRule="atLeast"/>
        <w:ind w:firstLine="567"/>
        <w:jc w:val="both"/>
        <w:rPr>
          <w:rFonts w:eastAsia="宋体"/>
          <w:color w:val="000000"/>
        </w:rPr>
      </w:pPr>
      <w:r>
        <w:rPr>
          <w:rFonts w:hint="eastAsia" w:eastAsia="宋体"/>
          <w:color w:val="000000"/>
        </w:rPr>
        <w:t>附：法定代表人身份证明</w:t>
      </w:r>
    </w:p>
    <w:p>
      <w:pPr>
        <w:pStyle w:val="16"/>
        <w:spacing w:line="206" w:lineRule="atLeast"/>
        <w:ind w:firstLine="2400" w:firstLineChars="1000"/>
        <w:jc w:val="both"/>
        <w:rPr>
          <w:rFonts w:eastAsia="宋体"/>
          <w:color w:val="000000"/>
          <w:u w:val="single"/>
        </w:rPr>
      </w:pPr>
      <w:r>
        <w:rPr>
          <w:rFonts w:hint="eastAsia" w:eastAsia="宋体"/>
          <w:color w:val="000000"/>
        </w:rPr>
        <w:t>投    标   人：</w:t>
      </w:r>
      <w:r>
        <w:rPr>
          <w:rFonts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6"/>
        <w:spacing w:line="206" w:lineRule="atLeast"/>
        <w:ind w:firstLine="1200" w:firstLineChars="500"/>
        <w:jc w:val="center"/>
        <w:rPr>
          <w:rFonts w:eastAsia="宋体"/>
          <w:color w:val="000000"/>
        </w:rPr>
      </w:pPr>
      <w:r>
        <w:rPr>
          <w:rFonts w:hint="eastAsia" w:eastAsia="宋体"/>
          <w:color w:val="000000"/>
        </w:rPr>
        <w:t>法定代表人：</w:t>
      </w:r>
      <w:r>
        <w:rPr>
          <w:rFonts w:hint="eastAsia" w:eastAsia="宋体"/>
          <w:color w:val="000000"/>
          <w:u w:val="single"/>
        </w:rPr>
        <w:t xml:space="preserve">                    </w:t>
      </w:r>
      <w:r>
        <w:rPr>
          <w:rFonts w:hint="eastAsia" w:eastAsia="宋体"/>
          <w:color w:val="000000"/>
        </w:rPr>
        <w:t>（签字）</w:t>
      </w:r>
    </w:p>
    <w:p>
      <w:pPr>
        <w:pStyle w:val="16"/>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6"/>
        <w:spacing w:line="206" w:lineRule="atLeast"/>
        <w:jc w:val="center"/>
        <w:rPr>
          <w:rFonts w:eastAsia="宋体"/>
          <w:color w:val="000000"/>
        </w:rPr>
      </w:pPr>
      <w:r>
        <w:rPr>
          <w:rFonts w:hint="eastAsia" w:eastAsia="宋体"/>
          <w:color w:val="000000"/>
        </w:rPr>
        <w:t xml:space="preserve">            委托代理人：</w:t>
      </w:r>
      <w:r>
        <w:rPr>
          <w:rFonts w:hint="eastAsia" w:eastAsia="宋体"/>
          <w:color w:val="000000"/>
          <w:u w:val="single"/>
        </w:rPr>
        <w:t xml:space="preserve">                    </w:t>
      </w:r>
      <w:r>
        <w:rPr>
          <w:rFonts w:hint="eastAsia" w:eastAsia="宋体"/>
          <w:color w:val="000000"/>
        </w:rPr>
        <w:t>（签字）</w:t>
      </w:r>
    </w:p>
    <w:p>
      <w:pPr>
        <w:pStyle w:val="16"/>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6"/>
        <w:spacing w:line="206" w:lineRule="atLeast"/>
        <w:ind w:firstLine="2400" w:firstLineChars="1000"/>
        <w:jc w:val="both"/>
        <w:rPr>
          <w:rFonts w:eastAsia="宋体"/>
          <w:color w:val="000000"/>
        </w:rPr>
      </w:pPr>
      <w:r>
        <w:rPr>
          <w:rFonts w:hint="eastAsia" w:eastAsia="宋体"/>
          <w:color w:val="000000"/>
        </w:rPr>
        <w:t>日       期：</w:t>
      </w:r>
      <w:r>
        <w:rPr>
          <w:rFonts w:hint="eastAsia" w:eastAsia="宋体"/>
          <w:color w:val="000000"/>
          <w:u w:val="single"/>
        </w:rPr>
        <w:t xml:space="preserve">                     </w:t>
      </w: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jc w:val="both"/>
        <w:rPr>
          <w:rFonts w:eastAsia="宋体"/>
          <w:color w:val="000000"/>
        </w:rPr>
      </w:pPr>
    </w:p>
    <w:p>
      <w:pPr>
        <w:pStyle w:val="4"/>
        <w:numPr>
          <w:ilvl w:val="2"/>
          <w:numId w:val="0"/>
        </w:numPr>
        <w:ind w:leftChars="0"/>
        <w:jc w:val="center"/>
        <w:rPr>
          <w:rFonts w:ascii="宋体" w:hAnsi="宋体" w:eastAsia="宋体" w:cs="宋体"/>
        </w:rPr>
      </w:pPr>
      <w:bookmarkStart w:id="4" w:name="_Toc431"/>
      <w:r>
        <w:rPr>
          <w:rFonts w:hint="eastAsia" w:ascii="宋体" w:hAnsi="宋体" w:eastAsia="宋体" w:cs="宋体"/>
        </w:rPr>
        <w:t>五、资格审查资料</w:t>
      </w:r>
      <w:bookmarkEnd w:id="4"/>
    </w:p>
    <w:p>
      <w:pPr>
        <w:pStyle w:val="11"/>
        <w:numPr>
          <w:ilvl w:val="0"/>
          <w:numId w:val="6"/>
        </w:numPr>
        <w:ind w:left="-300" w:firstLine="0"/>
        <w:jc w:val="center"/>
        <w:outlineLvl w:val="2"/>
        <w:rPr>
          <w:rFonts w:ascii="宋体" w:hAnsi="宋体" w:eastAsia="宋体" w:cs="宋体"/>
          <w:szCs w:val="24"/>
        </w:rPr>
      </w:pPr>
      <w:bookmarkStart w:id="5" w:name="_Toc28085"/>
      <w:r>
        <w:rPr>
          <w:rFonts w:hint="eastAsia" w:ascii="宋体" w:hAnsi="宋体" w:eastAsia="宋体" w:cs="宋体"/>
          <w:b/>
          <w:bCs/>
          <w:szCs w:val="24"/>
        </w:rPr>
        <w:t>投标供应商基本情况表</w:t>
      </w:r>
      <w:bookmarkEnd w:id="5"/>
    </w:p>
    <w:tbl>
      <w:tblPr>
        <w:tblStyle w:val="17"/>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jc w:val="center"/>
              <w:rPr>
                <w:rFonts w:ascii="宋体" w:hAnsi="宋体" w:eastAsia="宋体" w:cs="宋体"/>
              </w:rPr>
            </w:pP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090"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920" w:type="dxa"/>
            <w:gridSpan w:val="6"/>
            <w:tcBorders>
              <w:tl2br w:val="nil"/>
              <w:tr2bl w:val="nil"/>
            </w:tcBorders>
            <w:noWrap/>
            <w:vAlign w:val="center"/>
          </w:tcPr>
          <w:p>
            <w:pPr>
              <w:jc w:val="center"/>
              <w:rPr>
                <w:rFonts w:ascii="宋体" w:hAnsi="宋体" w:eastAsia="宋体" w:cs="宋体"/>
              </w:rPr>
            </w:pPr>
          </w:p>
        </w:tc>
      </w:tr>
    </w:tbl>
    <w:p>
      <w:pPr>
        <w:pStyle w:val="11"/>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6" w:name="_Toc18040"/>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widowControl/>
        <w:outlineLvl w:val="3"/>
        <w:rPr>
          <w:rFonts w:ascii="宋体" w:hAnsi="宋体" w:eastAsia="宋体" w:cs="宋体"/>
          <w:b/>
          <w:bCs/>
          <w:color w:val="000000"/>
          <w:kern w:val="0"/>
          <w:sz w:val="32"/>
          <w:szCs w:val="32"/>
        </w:rPr>
      </w:pPr>
      <w:bookmarkStart w:id="7" w:name="_Toc15698"/>
      <w:r>
        <w:rPr>
          <w:rFonts w:hint="eastAsia" w:ascii="宋体" w:hAnsi="宋体" w:eastAsia="宋体" w:cs="宋体"/>
          <w:b/>
          <w:bCs/>
          <w:color w:val="000000"/>
          <w:kern w:val="0"/>
          <w:sz w:val="32"/>
          <w:szCs w:val="32"/>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rPr>
        <w:t>（1）独立承担民事责任的能力</w:t>
      </w:r>
      <w:bookmarkEnd w:id="7"/>
    </w:p>
    <w:p>
      <w:pPr>
        <w:pStyle w:val="22"/>
        <w:rPr>
          <w:rFonts w:ascii="宋体" w:hAnsi="宋体" w:eastAsia="宋体" w:cs="宋体"/>
        </w:rPr>
      </w:pPr>
    </w:p>
    <w:p>
      <w:pPr>
        <w:pStyle w:val="22"/>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pStyle w:val="22"/>
        <w:autoSpaceDE w:val="0"/>
        <w:autoSpaceDN w:val="0"/>
        <w:spacing w:line="480" w:lineRule="auto"/>
        <w:ind w:left="790" w:firstLine="480" w:firstLineChars="200"/>
        <w:rPr>
          <w:rFonts w:ascii="宋体" w:hAnsi="宋体" w:eastAsia="宋体" w:cs="宋体"/>
        </w:rPr>
      </w:pPr>
    </w:p>
    <w:p>
      <w:pPr>
        <w:autoSpaceDE w:val="0"/>
        <w:autoSpaceDN w:val="0"/>
        <w:spacing w:line="360" w:lineRule="auto"/>
        <w:ind w:firstLine="482" w:firstLineChars="200"/>
        <w:rPr>
          <w:rFonts w:ascii="宋体" w:hAnsi="宋体" w:eastAsia="宋体" w:cs="宋体"/>
          <w:b/>
          <w:bCs/>
          <w:color w:val="000000"/>
          <w:kern w:val="0"/>
        </w:rPr>
      </w:pPr>
      <w:r>
        <w:rPr>
          <w:rFonts w:hint="eastAsia" w:ascii="宋体" w:hAnsi="宋体" w:eastAsia="宋体" w:cs="宋体"/>
          <w:b/>
          <w:bCs/>
          <w:color w:val="000000"/>
          <w:kern w:val="0"/>
        </w:rPr>
        <w:br w:type="page"/>
      </w:r>
    </w:p>
    <w:p>
      <w:pPr>
        <w:widowControl/>
        <w:numPr>
          <w:ilvl w:val="0"/>
          <w:numId w:val="7"/>
        </w:numPr>
        <w:jc w:val="center"/>
        <w:outlineLvl w:val="4"/>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1"/>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1"/>
      </w:pPr>
    </w:p>
    <w:p>
      <w:pPr>
        <w:spacing w:after="440" w:line="520" w:lineRule="exact"/>
        <w:ind w:firstLine="940"/>
        <w:jc w:val="left"/>
        <w:rPr>
          <w:sz w:val="28"/>
          <w:szCs w:val="28"/>
        </w:rPr>
      </w:pPr>
      <w:r>
        <w:rPr>
          <w:rFonts w:hint="eastAsia" w:ascii="宋体" w:hAnsi="宋体" w:eastAsia="宋体"/>
          <w:color w:val="000000"/>
          <w:sz w:val="28"/>
          <w:szCs w:val="28"/>
        </w:rPr>
        <w:t>日期：</w:t>
      </w: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spacing w:line="520" w:lineRule="exact"/>
      </w:pPr>
      <w:r>
        <w:rPr>
          <w:rFonts w:hint="eastAsia" w:ascii="宋体" w:hAnsi="宋体" w:eastAsia="宋体"/>
          <w:color w:val="000000"/>
        </w:rPr>
        <w:t>说明：1．供应商可自行选择是否提供本承诺函，若不提供本承诺函的，应按采购文件要求提供相应的证明材料。</w:t>
      </w:r>
    </w:p>
    <w:p>
      <w:pPr>
        <w:pStyle w:val="22"/>
        <w:ind w:firstLine="0"/>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pStyle w:val="22"/>
        <w:ind w:firstLine="0"/>
        <w:rPr>
          <w:rFonts w:ascii="宋体" w:hAnsi="宋体" w:eastAsia="宋体" w:cs="宋体"/>
        </w:rPr>
      </w:pPr>
    </w:p>
    <w:p>
      <w:pPr>
        <w:pStyle w:val="22"/>
        <w:ind w:firstLine="0"/>
        <w:rPr>
          <w:rFonts w:ascii="宋体" w:hAnsi="宋体" w:eastAsia="宋体" w:cs="宋体"/>
        </w:rPr>
      </w:pPr>
    </w:p>
    <w:p>
      <w:pPr>
        <w:rPr>
          <w:rFonts w:ascii="宋体" w:hAnsi="宋体" w:eastAsia="宋体" w:cs="宋体"/>
        </w:rPr>
      </w:pPr>
      <w:r>
        <w:rPr>
          <w:rFonts w:hint="eastAsia" w:ascii="宋体" w:hAnsi="宋体" w:eastAsia="宋体" w:cs="宋体"/>
        </w:rPr>
        <w:br w:type="page"/>
      </w:r>
    </w:p>
    <w:p>
      <w:pPr>
        <w:widowControl/>
        <w:jc w:val="center"/>
        <w:outlineLvl w:val="4"/>
        <w:rPr>
          <w:rFonts w:ascii="宋体" w:hAnsi="宋体" w:eastAsia="宋体" w:cs="宋体"/>
          <w:b/>
          <w:bCs/>
          <w:color w:val="000000"/>
          <w:kern w:val="0"/>
          <w:sz w:val="32"/>
          <w:szCs w:val="32"/>
        </w:rPr>
      </w:pPr>
      <w:bookmarkStart w:id="8" w:name="_Toc29012"/>
      <w:r>
        <w:rPr>
          <w:rFonts w:hint="eastAsia" w:ascii="宋体" w:hAnsi="宋体" w:eastAsia="宋体" w:cs="宋体"/>
          <w:b/>
          <w:bCs/>
          <w:color w:val="000000"/>
          <w:kern w:val="0"/>
          <w:sz w:val="32"/>
          <w:szCs w:val="32"/>
        </w:rPr>
        <w:t>（3）本项目的特定资格要求</w:t>
      </w:r>
      <w:bookmarkEnd w:id="8"/>
    </w:p>
    <w:p>
      <w:pP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br w:type="page"/>
      </w:r>
    </w:p>
    <w:p>
      <w:pPr>
        <w:pStyle w:val="22"/>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（4）认证证书</w:t>
      </w: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bookmarkEnd w:id="6"/>
    <w:p>
      <w:pPr>
        <w:pStyle w:val="4"/>
        <w:numPr>
          <w:ilvl w:val="2"/>
          <w:numId w:val="0"/>
        </w:numPr>
        <w:ind w:leftChars="0"/>
        <w:jc w:val="center"/>
        <w:rPr>
          <w:rFonts w:ascii="宋体" w:hAnsi="宋体" w:eastAsia="宋体" w:cs="宋体"/>
        </w:rPr>
      </w:pPr>
      <w:r>
        <w:rPr>
          <w:rFonts w:hint="eastAsia" w:ascii="宋体" w:hAnsi="宋体" w:eastAsia="宋体" w:cs="宋体"/>
        </w:rPr>
        <w:t>六、技术和服务要求响应偏离表</w:t>
      </w:r>
    </w:p>
    <w:p>
      <w:pPr>
        <w:pStyle w:val="14"/>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采购文件规定的技术和服务要求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是否偏离</w:t>
            </w:r>
          </w:p>
        </w:tc>
        <w:tc>
          <w:tcPr>
            <w:tcW w:w="1341"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1"/>
        <w:rPr>
          <w:rFonts w:ascii="宋体" w:hAnsi="宋体" w:eastAsia="宋体" w:cs="宋体"/>
        </w:rPr>
      </w:pPr>
    </w:p>
    <w:p>
      <w:pPr>
        <w:numPr>
          <w:ilvl w:val="0"/>
          <w:numId w:val="8"/>
        </w:numPr>
        <w:ind w:firstLine="480"/>
        <w:rPr>
          <w:rFonts w:ascii="宋体" w:hAnsi="宋体" w:eastAsia="宋体" w:cs="宋体"/>
        </w:rPr>
      </w:pPr>
      <w:r>
        <w:rPr>
          <w:rFonts w:hint="eastAsia" w:ascii="宋体" w:hAnsi="宋体" w:eastAsia="宋体" w:cs="宋体"/>
        </w:rPr>
        <w:t>“采购文件规定的技术和服务要求”应与招标文件中采购需求的“技术和服务要求”的内容保持一致。</w:t>
      </w:r>
    </w:p>
    <w:p>
      <w:pPr>
        <w:numPr>
          <w:ilvl w:val="0"/>
          <w:numId w:val="8"/>
        </w:numPr>
        <w:ind w:firstLine="480"/>
        <w:rPr>
          <w:rFonts w:ascii="宋体" w:hAnsi="宋体" w:eastAsia="宋体" w:cs="宋体"/>
        </w:rPr>
      </w:pPr>
      <w:r>
        <w:rPr>
          <w:rFonts w:hint="eastAsia" w:ascii="宋体" w:hAnsi="宋体" w:eastAsia="宋体" w:cs="宋体"/>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8"/>
        </w:numPr>
        <w:ind w:firstLine="480"/>
        <w:rPr>
          <w:rFonts w:ascii="宋体" w:hAnsi="宋体" w:eastAsia="宋体" w:cs="宋体"/>
        </w:rPr>
      </w:pPr>
      <w:r>
        <w:rPr>
          <w:rFonts w:hint="eastAsia" w:ascii="宋体" w:hAnsi="宋体" w:eastAsia="宋体" w:cs="宋体"/>
        </w:rPr>
        <w:t xml:space="preserve"> “是否偏离”项下应按下列规定填写：优于的，填写“正偏离”；符合的，填写“无偏离”；低于的，填写“负偏离”。</w:t>
      </w:r>
    </w:p>
    <w:p>
      <w:pPr>
        <w:numPr>
          <w:ilvl w:val="0"/>
          <w:numId w:val="8"/>
        </w:numPr>
        <w:ind w:firstLine="480"/>
        <w:rPr>
          <w:rFonts w:ascii="宋体" w:hAnsi="宋体" w:eastAsia="宋体" w:cs="宋体"/>
        </w:rPr>
      </w:pPr>
      <w:r>
        <w:rPr>
          <w:rFonts w:hint="eastAsia" w:ascii="宋体" w:hAnsi="宋体" w:eastAsia="宋体" w:cs="宋体"/>
        </w:rPr>
        <w:t>“备注”处可填写偏离情况的说明。</w:t>
      </w:r>
    </w:p>
    <w:p>
      <w:pPr>
        <w:ind w:firstLine="480"/>
        <w:rPr>
          <w:rFonts w:ascii="宋体" w:hAnsi="宋体" w:eastAsia="宋体" w:cs="宋体"/>
        </w:rPr>
      </w:pPr>
    </w:p>
    <w:p>
      <w:pPr>
        <w:pStyle w:val="4"/>
        <w:numPr>
          <w:ilvl w:val="2"/>
          <w:numId w:val="0"/>
        </w:numPr>
        <w:ind w:leftChars="0"/>
        <w:rPr>
          <w:rFonts w:ascii="宋体" w:hAnsi="宋体" w:eastAsia="宋体" w:cs="宋体"/>
        </w:rPr>
      </w:pPr>
    </w:p>
    <w:p/>
    <w:p>
      <w:pPr>
        <w:pStyle w:val="4"/>
        <w:numPr>
          <w:ilvl w:val="2"/>
          <w:numId w:val="0"/>
        </w:numPr>
        <w:ind w:leftChars="0"/>
        <w:jc w:val="center"/>
        <w:rPr>
          <w:rFonts w:ascii="宋体" w:hAnsi="宋体" w:eastAsia="宋体" w:cs="宋体"/>
        </w:rPr>
      </w:pPr>
      <w:r>
        <w:rPr>
          <w:rFonts w:hint="eastAsia" w:ascii="宋体" w:hAnsi="宋体" w:eastAsia="宋体" w:cs="宋体"/>
        </w:rPr>
        <w:t>七、商务偏离表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是否偏离</w:t>
            </w:r>
          </w:p>
        </w:tc>
        <w:tc>
          <w:tcPr>
            <w:tcW w:w="1275"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rPr>
          <w:rFonts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ind w:firstLine="480"/>
        <w:rPr>
          <w:rFonts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rPr>
          <w:rFonts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ind w:left="480"/>
        <w:rPr>
          <w:rFonts w:ascii="宋体" w:hAnsi="宋体" w:eastAsia="宋体" w:cs="宋体"/>
        </w:rPr>
      </w:pPr>
      <w:r>
        <w:rPr>
          <w:rFonts w:hint="eastAsia" w:ascii="宋体" w:hAnsi="宋体" w:eastAsia="宋体" w:cs="宋体"/>
        </w:rPr>
        <w:t>4. “备注”处可填写偏离情况的说明。</w:t>
      </w:r>
    </w:p>
    <w:p>
      <w:pPr>
        <w:ind w:firstLine="480"/>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numPr>
          <w:ilvl w:val="2"/>
          <w:numId w:val="0"/>
        </w:numPr>
        <w:ind w:leftChars="0"/>
        <w:jc w:val="center"/>
        <w:rPr>
          <w:rFonts w:ascii="宋体" w:hAnsi="宋体" w:eastAsia="宋体" w:cs="宋体"/>
        </w:rPr>
      </w:pPr>
      <w:r>
        <w:rPr>
          <w:rFonts w:hint="eastAsia" w:ascii="宋体" w:hAnsi="宋体" w:eastAsia="宋体" w:cs="宋体"/>
        </w:rPr>
        <w:t>八、项目实施方案、质量保证及售后服务承诺等</w:t>
      </w:r>
    </w:p>
    <w:p>
      <w:pPr>
        <w:rPr>
          <w:rFonts w:ascii="宋体" w:hAnsi="宋体" w:eastAsia="宋体" w:cs="宋体"/>
        </w:rPr>
      </w:pPr>
      <w:r>
        <w:rPr>
          <w:rFonts w:hint="eastAsia" w:ascii="宋体" w:hAnsi="宋体" w:eastAsia="宋体" w:cs="宋体"/>
        </w:rPr>
        <w:t>投标人根据评分标准条目编写，包含如下部分：</w:t>
      </w:r>
    </w:p>
    <w:p>
      <w:pPr>
        <w:numPr>
          <w:ilvl w:val="0"/>
          <w:numId w:val="9"/>
        </w:numPr>
      </w:pPr>
      <w:r>
        <w:rPr>
          <w:rFonts w:hint="eastAsia"/>
        </w:rPr>
        <w:t>施工组织设计</w:t>
      </w:r>
    </w:p>
    <w:p>
      <w:pPr>
        <w:numPr>
          <w:ilvl w:val="0"/>
          <w:numId w:val="9"/>
        </w:numPr>
      </w:pPr>
      <w:r>
        <w:rPr>
          <w:rFonts w:hint="eastAsia"/>
        </w:rPr>
        <w:t>服务方案</w:t>
      </w:r>
    </w:p>
    <w:p>
      <w:pPr>
        <w:numPr>
          <w:ilvl w:val="0"/>
          <w:numId w:val="9"/>
        </w:numPr>
      </w:pPr>
      <w:r>
        <w:rPr>
          <w:rFonts w:hint="eastAsia"/>
        </w:rPr>
        <w:t>项目人员能力</w:t>
      </w:r>
    </w:p>
    <w:p>
      <w:pPr>
        <w:numPr>
          <w:ilvl w:val="0"/>
          <w:numId w:val="9"/>
        </w:numPr>
      </w:pPr>
      <w:r>
        <w:rPr>
          <w:rFonts w:hint="eastAsia"/>
        </w:rPr>
        <w:t>企业类似业绩</w:t>
      </w:r>
    </w:p>
    <w:p>
      <w:pPr>
        <w:rPr>
          <w:rFonts w:ascii="宋体" w:hAnsi="宋体" w:eastAsia="宋体" w:cs="宋体"/>
        </w:rPr>
      </w:pPr>
      <w:r>
        <w:rPr>
          <w:rFonts w:ascii="宋体" w:hAnsi="宋体" w:eastAsia="宋体" w:cs="宋体"/>
        </w:rPr>
        <w:br w:type="page"/>
      </w:r>
    </w:p>
    <w:p>
      <w:pPr>
        <w:pStyle w:val="11"/>
        <w:numPr>
          <w:ilvl w:val="0"/>
          <w:numId w:val="10"/>
        </w:numPr>
        <w:jc w:val="center"/>
        <w:rPr>
          <w:rFonts w:ascii="Arial" w:hAnsi="Arial" w:eastAsia="黑体"/>
          <w:b/>
          <w:sz w:val="32"/>
          <w:szCs w:val="24"/>
        </w:rPr>
      </w:pPr>
      <w:r>
        <w:rPr>
          <w:rFonts w:hint="eastAsia" w:ascii="Arial" w:hAnsi="Arial" w:eastAsia="黑体"/>
          <w:b/>
          <w:sz w:val="32"/>
          <w:szCs w:val="24"/>
        </w:rPr>
        <w:t>评分标准</w:t>
      </w:r>
    </w:p>
    <w:tbl>
      <w:tblPr>
        <w:tblStyle w:val="17"/>
        <w:tblpPr w:leftFromText="180" w:rightFromText="180" w:horzAnchor="margin" w:tblpY="720"/>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964"/>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主要指标</w:t>
            </w:r>
          </w:p>
        </w:tc>
        <w:tc>
          <w:tcPr>
            <w:tcW w:w="7964" w:type="dxa"/>
            <w:vAlign w:val="center"/>
          </w:tcPr>
          <w:p>
            <w:pPr>
              <w:jc w:val="center"/>
              <w:rPr>
                <w:rFonts w:ascii="Times New Roman" w:hAnsi="Times New Roman"/>
                <w:kern w:val="0"/>
              </w:rPr>
            </w:pPr>
            <w:r>
              <w:rPr>
                <w:rFonts w:hint="eastAsia" w:ascii="Times New Roman" w:hAnsi="Times New Roman"/>
                <w:kern w:val="0"/>
              </w:rPr>
              <w:t>评分标准</w:t>
            </w:r>
          </w:p>
        </w:tc>
        <w:tc>
          <w:tcPr>
            <w:tcW w:w="563" w:type="dxa"/>
            <w:vAlign w:val="center"/>
          </w:tcPr>
          <w:p>
            <w:pPr>
              <w:jc w:val="center"/>
              <w:rPr>
                <w:rFonts w:ascii="Times New Roman" w:hAnsi="Times New Roman"/>
                <w:kern w:val="0"/>
              </w:rPr>
            </w:pPr>
            <w:r>
              <w:rPr>
                <w:rFonts w:hint="eastAsia" w:ascii="Times New Roman" w:hAnsi="Times New Roman"/>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施工组织设计</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(1)总体概述:施工组织总体设想、方案针对性及施工标段划分;(0-5分)</w:t>
            </w:r>
          </w:p>
          <w:p>
            <w:pPr>
              <w:jc w:val="left"/>
              <w:rPr>
                <w:rFonts w:ascii="Times New Roman" w:hAnsi="Times New Roman"/>
                <w:kern w:val="0"/>
                <w:sz w:val="24"/>
                <w:szCs w:val="24"/>
              </w:rPr>
            </w:pPr>
            <w:r>
              <w:rPr>
                <w:rFonts w:hint="eastAsia" w:ascii="Times New Roman" w:hAnsi="Times New Roman"/>
                <w:kern w:val="0"/>
                <w:sz w:val="24"/>
                <w:szCs w:val="24"/>
              </w:rPr>
              <w:t>(2)施工现场平面布置和临时设施、临时道路布置;(0-5分)</w:t>
            </w:r>
          </w:p>
          <w:p>
            <w:pPr>
              <w:jc w:val="left"/>
              <w:rPr>
                <w:rFonts w:ascii="Times New Roman" w:hAnsi="Times New Roman"/>
                <w:kern w:val="0"/>
                <w:sz w:val="24"/>
                <w:szCs w:val="24"/>
              </w:rPr>
            </w:pPr>
            <w:r>
              <w:rPr>
                <w:rFonts w:hint="eastAsia" w:ascii="Times New Roman" w:hAnsi="Times New Roman"/>
                <w:kern w:val="0"/>
                <w:sz w:val="24"/>
                <w:szCs w:val="24"/>
              </w:rPr>
              <w:t>(3)施工进度计划和各阶段进度的保证措施;(0-5分)</w:t>
            </w:r>
          </w:p>
          <w:p>
            <w:pPr>
              <w:jc w:val="left"/>
              <w:rPr>
                <w:rFonts w:ascii="Times New Roman" w:hAnsi="Times New Roman"/>
                <w:kern w:val="0"/>
                <w:sz w:val="24"/>
                <w:szCs w:val="24"/>
              </w:rPr>
            </w:pPr>
            <w:r>
              <w:rPr>
                <w:rFonts w:hint="eastAsia" w:ascii="Times New Roman" w:hAnsi="Times New Roman"/>
                <w:kern w:val="0"/>
                <w:sz w:val="24"/>
                <w:szCs w:val="24"/>
              </w:rPr>
              <w:t>(4)各分部分项工程的施工方案及质量保证措施;(0-5分)</w:t>
            </w:r>
          </w:p>
          <w:p>
            <w:pPr>
              <w:jc w:val="left"/>
              <w:rPr>
                <w:rFonts w:ascii="Times New Roman" w:hAnsi="Times New Roman"/>
                <w:kern w:val="0"/>
                <w:sz w:val="24"/>
                <w:szCs w:val="24"/>
              </w:rPr>
            </w:pPr>
            <w:r>
              <w:rPr>
                <w:rFonts w:hint="eastAsia" w:ascii="Times New Roman" w:hAnsi="Times New Roman"/>
                <w:kern w:val="0"/>
                <w:sz w:val="24"/>
                <w:szCs w:val="24"/>
              </w:rPr>
              <w:t>(5)安全文明施工及环境保护措施;(0-5分)</w:t>
            </w:r>
          </w:p>
          <w:p>
            <w:pPr>
              <w:jc w:val="left"/>
              <w:rPr>
                <w:rFonts w:ascii="Times New Roman" w:hAnsi="Times New Roman"/>
                <w:kern w:val="0"/>
                <w:sz w:val="24"/>
                <w:szCs w:val="24"/>
              </w:rPr>
            </w:pPr>
            <w:r>
              <w:rPr>
                <w:rFonts w:hint="eastAsia" w:ascii="Times New Roman" w:hAnsi="Times New Roman"/>
                <w:kern w:val="0"/>
                <w:sz w:val="24"/>
                <w:szCs w:val="24"/>
              </w:rPr>
              <w:t>(6)项目管理班子的人员配备、素质及管理经验;(0-5分)</w:t>
            </w:r>
          </w:p>
          <w:p>
            <w:pPr>
              <w:jc w:val="left"/>
              <w:rPr>
                <w:rFonts w:ascii="Times New Roman" w:hAnsi="Times New Roman"/>
                <w:kern w:val="0"/>
                <w:sz w:val="24"/>
                <w:szCs w:val="24"/>
              </w:rPr>
            </w:pPr>
            <w:r>
              <w:rPr>
                <w:rFonts w:hint="eastAsia" w:ascii="Times New Roman" w:hAnsi="Times New Roman"/>
                <w:kern w:val="0"/>
                <w:sz w:val="24"/>
                <w:szCs w:val="24"/>
              </w:rPr>
              <w:t>(7)劳动力、机械设备和材料投入计划;(0-5分)</w:t>
            </w:r>
          </w:p>
          <w:p>
            <w:pPr>
              <w:jc w:val="left"/>
              <w:rPr>
                <w:rFonts w:ascii="Times New Roman" w:hAnsi="Times New Roman"/>
                <w:kern w:val="0"/>
                <w:sz w:val="24"/>
                <w:szCs w:val="24"/>
              </w:rPr>
            </w:pPr>
            <w:r>
              <w:rPr>
                <w:rFonts w:hint="eastAsia" w:ascii="Times New Roman" w:hAnsi="Times New Roman"/>
                <w:kern w:val="0"/>
                <w:sz w:val="24"/>
                <w:szCs w:val="24"/>
              </w:rPr>
              <w:t>(8)关键施工技术、工艺及工程项目实施的重点、难点和解决方案;(0-6分)</w:t>
            </w:r>
          </w:p>
          <w:p>
            <w:pPr>
              <w:jc w:val="left"/>
              <w:rPr>
                <w:rFonts w:ascii="Times New Roman" w:hAnsi="Times New Roman"/>
                <w:kern w:val="0"/>
                <w:sz w:val="24"/>
                <w:szCs w:val="24"/>
              </w:rPr>
            </w:pPr>
            <w:r>
              <w:rPr>
                <w:rFonts w:hint="eastAsia" w:ascii="Times New Roman" w:hAnsi="Times New Roman"/>
                <w:kern w:val="0"/>
                <w:sz w:val="24"/>
                <w:szCs w:val="24"/>
              </w:rPr>
              <w:t>(9)冬雨季施工、已有设施、管线的加固、保护等特殊情况下的施工措施(0-2分)</w:t>
            </w:r>
          </w:p>
          <w:p>
            <w:pPr>
              <w:jc w:val="left"/>
              <w:rPr>
                <w:rFonts w:ascii="Times New Roman" w:hAnsi="Times New Roman"/>
                <w:kern w:val="0"/>
                <w:sz w:val="24"/>
                <w:szCs w:val="24"/>
              </w:rPr>
            </w:pPr>
            <w:r>
              <w:rPr>
                <w:rFonts w:hint="eastAsia" w:ascii="Times New Roman" w:hAnsi="Times New Roman"/>
                <w:kern w:val="0"/>
                <w:sz w:val="24"/>
                <w:szCs w:val="24"/>
              </w:rPr>
              <w:t>(10)新技术、新产品、新工艺、新材料应用。(0-5分)</w:t>
            </w:r>
          </w:p>
          <w:p>
            <w:pPr>
              <w:jc w:val="left"/>
              <w:rPr>
                <w:rFonts w:ascii="Times New Roman" w:hAnsi="Times New Roman"/>
                <w:kern w:val="0"/>
                <w:sz w:val="24"/>
                <w:szCs w:val="24"/>
              </w:rPr>
            </w:pPr>
            <w:r>
              <w:rPr>
                <w:rFonts w:hint="eastAsia" w:ascii="Times New Roman" w:hAnsi="Times New Roman"/>
                <w:kern w:val="0"/>
                <w:sz w:val="24"/>
                <w:szCs w:val="24"/>
              </w:rPr>
              <w:t>注：以上评分项由评标委员会根据各投标单位提供的投标文件进行横向比较，酌情打分，未提供不得分。</w:t>
            </w:r>
          </w:p>
        </w:tc>
        <w:tc>
          <w:tcPr>
            <w:tcW w:w="563" w:type="dxa"/>
          </w:tcPr>
          <w:p>
            <w:pPr>
              <w:jc w:val="center"/>
              <w:rPr>
                <w:rFonts w:ascii="Times New Roman" w:hAnsi="Times New Roman"/>
                <w:kern w:val="0"/>
              </w:rPr>
            </w:pPr>
            <w:r>
              <w:rPr>
                <w:rFonts w:hint="eastAsia" w:ascii="Times New Roman" w:hAnsi="Times New Roman"/>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服务方案</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根据投标人提供的质保期保修方案（服务响应时间、修复时限等服务响应，不含质保期）进行横向比较，评委酌情打分。优得3（含）-5（含）分，良得2（含）-3（不含）分，一般得0-2（不含）分，未提供不得分。</w:t>
            </w:r>
          </w:p>
        </w:tc>
        <w:tc>
          <w:tcPr>
            <w:tcW w:w="563" w:type="dxa"/>
          </w:tcPr>
          <w:p>
            <w:pPr>
              <w:jc w:val="center"/>
              <w:rPr>
                <w:rFonts w:ascii="Times New Roman" w:hAnsi="Times New Roman"/>
                <w:kern w:val="0"/>
              </w:rPr>
            </w:pPr>
            <w:r>
              <w:rPr>
                <w:rFonts w:hint="eastAsia" w:ascii="Times New Roman" w:hAnsi="Times New Roman"/>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认证证书</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投标人具有有效期内的质量管理体系认证证书、环境管理体系认证证书、职业健康安全体系认证证书的，有一项得2分，最高得 6分。</w:t>
            </w:r>
          </w:p>
          <w:p>
            <w:pPr>
              <w:jc w:val="left"/>
              <w:rPr>
                <w:rFonts w:ascii="Times New Roman" w:hAnsi="Times New Roman"/>
                <w:kern w:val="0"/>
                <w:sz w:val="24"/>
                <w:szCs w:val="24"/>
              </w:rPr>
            </w:pPr>
            <w:r>
              <w:rPr>
                <w:rFonts w:hint="eastAsia" w:ascii="Times New Roman" w:hAnsi="Times New Roman"/>
                <w:kern w:val="0"/>
                <w:sz w:val="24"/>
                <w:szCs w:val="24"/>
              </w:rPr>
              <w:t>投标人提供有效3A企业资信等级证书的，得3分。</w:t>
            </w:r>
          </w:p>
          <w:p>
            <w:pPr>
              <w:jc w:val="left"/>
              <w:rPr>
                <w:rFonts w:ascii="Times New Roman" w:hAnsi="Times New Roman"/>
                <w:kern w:val="0"/>
                <w:sz w:val="24"/>
                <w:szCs w:val="24"/>
              </w:rPr>
            </w:pPr>
            <w:r>
              <w:rPr>
                <w:rFonts w:hint="eastAsia" w:ascii="Times New Roman" w:hAnsi="Times New Roman"/>
                <w:kern w:val="0"/>
                <w:sz w:val="24"/>
                <w:szCs w:val="24"/>
              </w:rPr>
              <w:t>注:需提供以上证书加盖公章的复印件，未按要求提供不得分。</w:t>
            </w:r>
          </w:p>
        </w:tc>
        <w:tc>
          <w:tcPr>
            <w:tcW w:w="563" w:type="dxa"/>
          </w:tcPr>
          <w:p>
            <w:pPr>
              <w:jc w:val="center"/>
              <w:rPr>
                <w:rFonts w:ascii="Times New Roman" w:hAnsi="Times New Roman"/>
                <w:kern w:val="0"/>
              </w:rPr>
            </w:pPr>
            <w:r>
              <w:rPr>
                <w:rFonts w:hint="eastAsia" w:ascii="Times New Roman" w:hAnsi="Times New Roman"/>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企业类似业绩</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近三年投标人承担过类似机电工程的，有一项3分，最高得 6分。</w:t>
            </w:r>
          </w:p>
          <w:p>
            <w:pPr>
              <w:jc w:val="left"/>
              <w:rPr>
                <w:rFonts w:ascii="Times New Roman" w:hAnsi="Times New Roman"/>
                <w:kern w:val="0"/>
                <w:sz w:val="24"/>
                <w:szCs w:val="24"/>
              </w:rPr>
            </w:pPr>
            <w:r>
              <w:rPr>
                <w:rFonts w:hint="eastAsia" w:ascii="Times New Roman" w:hAnsi="Times New Roman"/>
                <w:kern w:val="0"/>
                <w:sz w:val="24"/>
                <w:szCs w:val="24"/>
              </w:rPr>
              <w:t>注：⑴类似工程有效期:自2020年1月1日以来，时间以工程竣工验收证明为准。⑵类似工程指标出现不一致的情况时以工程竣工验收证明为准。⑶投标人提供的类似工程须提供中标通知书、施工合同、工程竣工验收证明，以上材料原件缺一无效。</w:t>
            </w:r>
          </w:p>
        </w:tc>
        <w:tc>
          <w:tcPr>
            <w:tcW w:w="563" w:type="dxa"/>
          </w:tcPr>
          <w:p>
            <w:pPr>
              <w:jc w:val="center"/>
              <w:rPr>
                <w:rFonts w:ascii="Times New Roman" w:hAnsi="Times New Roman"/>
                <w:kern w:val="0"/>
              </w:rPr>
            </w:pPr>
            <w:r>
              <w:rPr>
                <w:rFonts w:hint="eastAsia" w:ascii="Times New Roman" w:hAnsi="Times New Roman"/>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项目人员能力</w:t>
            </w:r>
          </w:p>
        </w:tc>
        <w:tc>
          <w:tcPr>
            <w:tcW w:w="7964" w:type="dxa"/>
            <w:vAlign w:val="center"/>
          </w:tcPr>
          <w:p>
            <w:pPr>
              <w:jc w:val="left"/>
              <w:rPr>
                <w:rFonts w:ascii="Times New Roman" w:hAnsi="Times New Roman"/>
                <w:kern w:val="0"/>
                <w:sz w:val="24"/>
                <w:szCs w:val="24"/>
              </w:rPr>
            </w:pPr>
            <w:r>
              <w:rPr>
                <w:rFonts w:hint="eastAsia" w:ascii="Times New Roman" w:hAnsi="Times New Roman"/>
                <w:kern w:val="0"/>
                <w:sz w:val="24"/>
                <w:szCs w:val="24"/>
              </w:rPr>
              <w:t>1、投标人为本项目配备的五大员（不含项目负责人），施工员、质量员、安全员、材料员、资料员（五大员缺一不得分）。</w:t>
            </w:r>
          </w:p>
          <w:p>
            <w:pPr>
              <w:jc w:val="left"/>
              <w:rPr>
                <w:rFonts w:ascii="Times New Roman" w:hAnsi="Times New Roman"/>
                <w:kern w:val="0"/>
                <w:sz w:val="24"/>
                <w:szCs w:val="24"/>
              </w:rPr>
            </w:pPr>
            <w:r>
              <w:rPr>
                <w:rFonts w:hint="eastAsia" w:ascii="Times New Roman" w:hAnsi="Times New Roman"/>
                <w:kern w:val="0"/>
                <w:sz w:val="24"/>
                <w:szCs w:val="24"/>
              </w:rPr>
              <w:t>得5分。</w:t>
            </w:r>
          </w:p>
          <w:p>
            <w:pPr>
              <w:jc w:val="left"/>
              <w:rPr>
                <w:rFonts w:ascii="Times New Roman" w:hAnsi="Times New Roman"/>
                <w:kern w:val="0"/>
                <w:sz w:val="24"/>
                <w:szCs w:val="24"/>
              </w:rPr>
            </w:pPr>
            <w:r>
              <w:rPr>
                <w:rFonts w:hint="eastAsia" w:ascii="Times New Roman" w:hAnsi="Times New Roman"/>
                <w:kern w:val="0"/>
                <w:sz w:val="24"/>
                <w:szCs w:val="24"/>
              </w:rPr>
              <w:t>注：投标人需提供人员的以下有效证明材料：</w:t>
            </w:r>
          </w:p>
          <w:p>
            <w:pPr>
              <w:jc w:val="left"/>
              <w:rPr>
                <w:rFonts w:ascii="Times New Roman" w:hAnsi="Times New Roman"/>
                <w:kern w:val="0"/>
                <w:sz w:val="24"/>
                <w:szCs w:val="24"/>
              </w:rPr>
            </w:pPr>
            <w:r>
              <w:rPr>
                <w:rFonts w:hint="eastAsia" w:ascii="Times New Roman" w:hAnsi="Times New Roman"/>
                <w:kern w:val="0"/>
                <w:sz w:val="24"/>
                <w:szCs w:val="24"/>
              </w:rPr>
              <w:t>（1）自2022年6月、7月、8月的社保证明，复印件加盖公章装订在投标文件中；（如提供为多人社保信息汇总材料，请于证明材料中用明显标识标注出所提供项目组人员社保证明材料所在项，以便评标委员会评审。）</w:t>
            </w:r>
          </w:p>
          <w:p>
            <w:pPr>
              <w:jc w:val="left"/>
              <w:rPr>
                <w:rFonts w:ascii="Times New Roman" w:hAnsi="Times New Roman"/>
                <w:kern w:val="0"/>
                <w:sz w:val="24"/>
                <w:szCs w:val="24"/>
              </w:rPr>
            </w:pPr>
            <w:r>
              <w:rPr>
                <w:rFonts w:hint="eastAsia" w:ascii="Times New Roman" w:hAnsi="Times New Roman"/>
                <w:kern w:val="0"/>
                <w:sz w:val="24"/>
                <w:szCs w:val="24"/>
              </w:rPr>
              <w:t>（2）提供证书复印件加盖公章装订在投标文件中。</w:t>
            </w:r>
          </w:p>
        </w:tc>
        <w:tc>
          <w:tcPr>
            <w:tcW w:w="563" w:type="dxa"/>
            <w:vAlign w:val="center"/>
          </w:tcPr>
          <w:p>
            <w:pPr>
              <w:jc w:val="center"/>
              <w:rPr>
                <w:rFonts w:ascii="Times New Roman" w:hAnsi="Times New Roman"/>
                <w:kern w:val="0"/>
              </w:rPr>
            </w:pPr>
            <w:r>
              <w:rPr>
                <w:rFonts w:hint="eastAsia" w:ascii="Times New Roman" w:hAnsi="Times New Roman"/>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投标报价</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价格分统一采用低价优先法计算，满足磋商文件要求目最后报价最低的供应商的价格为磋商基准价，其价格分为满分。其他供应商的价格分统一按照下列公式计算(计算结果四舍五入保留两位小数):</w:t>
            </w:r>
          </w:p>
          <w:p>
            <w:pPr>
              <w:jc w:val="left"/>
              <w:rPr>
                <w:rFonts w:ascii="Times New Roman" w:hAnsi="Times New Roman"/>
                <w:kern w:val="0"/>
                <w:sz w:val="24"/>
                <w:szCs w:val="24"/>
              </w:rPr>
            </w:pPr>
            <w:r>
              <w:rPr>
                <w:rFonts w:hint="eastAsia" w:ascii="Times New Roman" w:hAnsi="Times New Roman"/>
                <w:kern w:val="0"/>
                <w:sz w:val="24"/>
                <w:szCs w:val="24"/>
              </w:rPr>
              <w:t>磋商报价得分=(磋商基准价/最后磋商报价)x25分</w:t>
            </w:r>
          </w:p>
        </w:tc>
        <w:tc>
          <w:tcPr>
            <w:tcW w:w="563" w:type="dxa"/>
          </w:tcPr>
          <w:p>
            <w:pPr>
              <w:jc w:val="center"/>
              <w:rPr>
                <w:rFonts w:ascii="Times New Roman" w:hAnsi="Times New Roman"/>
                <w:kern w:val="0"/>
              </w:rPr>
            </w:pPr>
            <w:r>
              <w:rPr>
                <w:rFonts w:hint="eastAsia" w:ascii="Times New Roman" w:hAnsi="Times New Roman"/>
                <w:kern w:val="0"/>
              </w:rPr>
              <w:t>25</w:t>
            </w:r>
          </w:p>
        </w:tc>
      </w:tr>
    </w:tbl>
    <w:p>
      <w:pPr>
        <w:pStyle w:val="11"/>
        <w:rPr>
          <w:rFonts w:ascii="Arial" w:hAnsi="Arial" w:eastAsia="黑体"/>
          <w:b/>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E835D"/>
    <w:multiLevelType w:val="singleLevel"/>
    <w:tmpl w:val="BE9E835D"/>
    <w:lvl w:ilvl="0" w:tentative="0">
      <w:start w:val="7"/>
      <w:numFmt w:val="decimal"/>
      <w:suff w:val="space"/>
      <w:lvlText w:val="%1."/>
      <w:lvlJc w:val="left"/>
    </w:lvl>
  </w:abstractNum>
  <w:abstractNum w:abstractNumId="1">
    <w:nsid w:val="C8ED35D2"/>
    <w:multiLevelType w:val="singleLevel"/>
    <w:tmpl w:val="C8ED35D2"/>
    <w:lvl w:ilvl="0" w:tentative="0">
      <w:start w:val="3"/>
      <w:numFmt w:val="chineseCounting"/>
      <w:suff w:val="space"/>
      <w:lvlText w:val="第%1部分"/>
      <w:lvlJc w:val="left"/>
      <w:rPr>
        <w:rFonts w:hint="eastAsia"/>
      </w:rPr>
    </w:lvl>
  </w:abstractNum>
  <w:abstractNum w:abstractNumId="2">
    <w:nsid w:val="CBF80943"/>
    <w:multiLevelType w:val="singleLevel"/>
    <w:tmpl w:val="CBF80943"/>
    <w:lvl w:ilvl="0" w:tentative="0">
      <w:start w:val="1"/>
      <w:numFmt w:val="chineseCounting"/>
      <w:suff w:val="nothing"/>
      <w:lvlText w:val="%1、"/>
      <w:lvlJc w:val="left"/>
      <w:pPr>
        <w:ind w:left="0" w:firstLine="420"/>
      </w:pPr>
      <w:rPr>
        <w:rFonts w:hint="eastAsia"/>
      </w:rPr>
    </w:lvl>
  </w:abstractNum>
  <w:abstractNum w:abstractNumId="3">
    <w:nsid w:val="F8DBE9FA"/>
    <w:multiLevelType w:val="singleLevel"/>
    <w:tmpl w:val="F8DBE9FA"/>
    <w:lvl w:ilvl="0" w:tentative="0">
      <w:start w:val="2"/>
      <w:numFmt w:val="decimal"/>
      <w:suff w:val="space"/>
      <w:lvlText w:val="（%1）"/>
      <w:lvlJc w:val="left"/>
    </w:lvl>
  </w:abstractNum>
  <w:abstractNum w:abstractNumId="4">
    <w:nsid w:val="004CF836"/>
    <w:multiLevelType w:val="singleLevel"/>
    <w:tmpl w:val="004CF836"/>
    <w:lvl w:ilvl="0" w:tentative="0">
      <w:start w:val="5"/>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6">
    <w:nsid w:val="0CC03E36"/>
    <w:multiLevelType w:val="singleLevel"/>
    <w:tmpl w:val="0CC03E36"/>
    <w:lvl w:ilvl="0" w:tentative="0">
      <w:start w:val="1"/>
      <w:numFmt w:val="decimal"/>
      <w:lvlText w:val="%1."/>
      <w:lvlJc w:val="left"/>
      <w:pPr>
        <w:tabs>
          <w:tab w:val="left" w:pos="312"/>
        </w:tabs>
      </w:pPr>
    </w:lvl>
  </w:abstractNum>
  <w:abstractNum w:abstractNumId="7">
    <w:nsid w:val="2426FAA9"/>
    <w:multiLevelType w:val="singleLevel"/>
    <w:tmpl w:val="2426FAA9"/>
    <w:lvl w:ilvl="0" w:tentative="0">
      <w:start w:val="1"/>
      <w:numFmt w:val="decimal"/>
      <w:suff w:val="nothing"/>
      <w:lvlText w:val="%1）"/>
      <w:lvlJc w:val="left"/>
    </w:lvl>
  </w:abstractNum>
  <w:abstractNum w:abstractNumId="8">
    <w:nsid w:val="25C3A95F"/>
    <w:multiLevelType w:val="singleLevel"/>
    <w:tmpl w:val="25C3A95F"/>
    <w:lvl w:ilvl="0" w:tentative="0">
      <w:start w:val="1"/>
      <w:numFmt w:val="decimal"/>
      <w:lvlText w:val="%1."/>
      <w:lvlJc w:val="left"/>
      <w:pPr>
        <w:tabs>
          <w:tab w:val="left" w:pos="312"/>
        </w:tabs>
      </w:p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5"/>
  </w:num>
  <w:num w:numId="2">
    <w:abstractNumId w:val="7"/>
  </w:num>
  <w:num w:numId="3">
    <w:abstractNumId w:val="4"/>
  </w:num>
  <w:num w:numId="4">
    <w:abstractNumId w:val="0"/>
  </w:num>
  <w:num w:numId="5">
    <w:abstractNumId w:val="2"/>
  </w:num>
  <w:num w:numId="6">
    <w:abstractNumId w:val="9"/>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3DD0ED0"/>
    <w:rsid w:val="04415DC2"/>
    <w:rsid w:val="04425FE9"/>
    <w:rsid w:val="0449432C"/>
    <w:rsid w:val="05F4705E"/>
    <w:rsid w:val="09294C09"/>
    <w:rsid w:val="0D3E3974"/>
    <w:rsid w:val="0D5F7C0C"/>
    <w:rsid w:val="112D72E7"/>
    <w:rsid w:val="12FB2185"/>
    <w:rsid w:val="149633B3"/>
    <w:rsid w:val="14C14790"/>
    <w:rsid w:val="17166BB7"/>
    <w:rsid w:val="19A2414E"/>
    <w:rsid w:val="19CA6475"/>
    <w:rsid w:val="1B50464C"/>
    <w:rsid w:val="1B592166"/>
    <w:rsid w:val="1E5D3CF4"/>
    <w:rsid w:val="21AB121A"/>
    <w:rsid w:val="22407BB4"/>
    <w:rsid w:val="25212EA4"/>
    <w:rsid w:val="29CC48D4"/>
    <w:rsid w:val="2B1167EC"/>
    <w:rsid w:val="2BAB28CF"/>
    <w:rsid w:val="2EBD19FE"/>
    <w:rsid w:val="309B756E"/>
    <w:rsid w:val="30D76D02"/>
    <w:rsid w:val="30F96FE4"/>
    <w:rsid w:val="32346F6E"/>
    <w:rsid w:val="356824AE"/>
    <w:rsid w:val="35BB28DC"/>
    <w:rsid w:val="361A18E7"/>
    <w:rsid w:val="36A1760F"/>
    <w:rsid w:val="36FE4E33"/>
    <w:rsid w:val="37415068"/>
    <w:rsid w:val="3989585D"/>
    <w:rsid w:val="3A106A85"/>
    <w:rsid w:val="3B11404B"/>
    <w:rsid w:val="3B726358"/>
    <w:rsid w:val="3F0E37CA"/>
    <w:rsid w:val="3F48163C"/>
    <w:rsid w:val="40C1324F"/>
    <w:rsid w:val="418C7B4C"/>
    <w:rsid w:val="42F71016"/>
    <w:rsid w:val="43F502ED"/>
    <w:rsid w:val="44EF4B92"/>
    <w:rsid w:val="452964E4"/>
    <w:rsid w:val="45A25D72"/>
    <w:rsid w:val="4650751B"/>
    <w:rsid w:val="47002253"/>
    <w:rsid w:val="476E05C3"/>
    <w:rsid w:val="48A62E99"/>
    <w:rsid w:val="4A967D1C"/>
    <w:rsid w:val="4AAB17C9"/>
    <w:rsid w:val="4AFF7D5D"/>
    <w:rsid w:val="4B060DE4"/>
    <w:rsid w:val="4BA8289A"/>
    <w:rsid w:val="4C8E331F"/>
    <w:rsid w:val="4DA35DAA"/>
    <w:rsid w:val="4E324304"/>
    <w:rsid w:val="4E8F1391"/>
    <w:rsid w:val="4E960E10"/>
    <w:rsid w:val="4F912AF7"/>
    <w:rsid w:val="4FC25E01"/>
    <w:rsid w:val="4FFC645A"/>
    <w:rsid w:val="52D81261"/>
    <w:rsid w:val="53C30726"/>
    <w:rsid w:val="53FB68E3"/>
    <w:rsid w:val="54674340"/>
    <w:rsid w:val="5699159A"/>
    <w:rsid w:val="584A577E"/>
    <w:rsid w:val="58A730CB"/>
    <w:rsid w:val="59705FB7"/>
    <w:rsid w:val="59F24396"/>
    <w:rsid w:val="5A0D01D8"/>
    <w:rsid w:val="5A46358F"/>
    <w:rsid w:val="5B376630"/>
    <w:rsid w:val="5BAB74D2"/>
    <w:rsid w:val="647C797D"/>
    <w:rsid w:val="64D56605"/>
    <w:rsid w:val="69DC2875"/>
    <w:rsid w:val="6AA13507"/>
    <w:rsid w:val="6B814C60"/>
    <w:rsid w:val="6D5B386F"/>
    <w:rsid w:val="71660A98"/>
    <w:rsid w:val="71962296"/>
    <w:rsid w:val="720B26F6"/>
    <w:rsid w:val="73282E7D"/>
    <w:rsid w:val="73440DCB"/>
    <w:rsid w:val="740C2DE4"/>
    <w:rsid w:val="74F95B2E"/>
    <w:rsid w:val="77035D31"/>
    <w:rsid w:val="78C21364"/>
    <w:rsid w:val="79452192"/>
    <w:rsid w:val="796678F5"/>
    <w:rsid w:val="796D14E2"/>
    <w:rsid w:val="7AED2C21"/>
    <w:rsid w:val="7B4C7DFC"/>
    <w:rsid w:val="7C064B9A"/>
    <w:rsid w:val="7D96632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link w:val="32"/>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3"/>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rPr>
      <w:rFonts w:ascii="楷体_GB2312" w:hAnsi="Arial" w:eastAsia="楷体_GB2312"/>
      <w:sz w:val="28"/>
      <w:szCs w:val="28"/>
    </w:rPr>
  </w:style>
  <w:style w:type="paragraph" w:styleId="12">
    <w:name w:val="Body Text Indent"/>
    <w:basedOn w:val="1"/>
    <w:next w:val="13"/>
    <w:link w:val="27"/>
    <w:qFormat/>
    <w:uiPriority w:val="0"/>
    <w:pPr>
      <w:ind w:firstLine="795"/>
    </w:pPr>
    <w:rPr>
      <w:sz w:val="32"/>
      <w:szCs w:val="32"/>
    </w:rPr>
  </w:style>
  <w:style w:type="paragraph" w:styleId="13">
    <w:name w:val="envelope return"/>
    <w:basedOn w:val="1"/>
    <w:qFormat/>
    <w:uiPriority w:val="0"/>
    <w:pPr>
      <w:snapToGrid w:val="0"/>
    </w:pPr>
    <w:rPr>
      <w:rFonts w:ascii="Arial" w:hAnsi="Arial"/>
    </w:rPr>
  </w:style>
  <w:style w:type="paragraph" w:styleId="14">
    <w:name w:val="Date"/>
    <w:basedOn w:val="1"/>
    <w:next w:val="1"/>
    <w:qFormat/>
    <w:uiPriority w:val="0"/>
  </w:style>
  <w:style w:type="paragraph" w:styleId="15">
    <w:name w:val="Balloon Text"/>
    <w:basedOn w:val="1"/>
    <w:link w:val="30"/>
    <w:qFormat/>
    <w:uiPriority w:val="0"/>
    <w:rPr>
      <w:sz w:val="18"/>
      <w:szCs w:val="18"/>
    </w:rPr>
  </w:style>
  <w:style w:type="paragraph" w:styleId="16">
    <w:name w:val="Normal (Web)"/>
    <w:basedOn w:val="1"/>
    <w:qFormat/>
    <w:uiPriority w:val="0"/>
    <w:pPr>
      <w:spacing w:before="100" w:beforeAutospacing="1" w:after="100" w:afterAutospacing="1"/>
      <w:jc w:val="left"/>
    </w:pPr>
    <w:rPr>
      <w:rFonts w:ascii="宋体" w:hAnsi="宋体" w:cs="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paragraph" w:customStyle="1" w:styleId="21">
    <w:name w:val="正文（缩进）"/>
    <w:basedOn w:val="1"/>
    <w:qFormat/>
    <w:uiPriority w:val="0"/>
    <w:pPr>
      <w:ind w:firstLine="480" w:firstLineChars="200"/>
    </w:pPr>
  </w:style>
  <w:style w:type="paragraph" w:styleId="22">
    <w:name w:val="List Paragraph"/>
    <w:basedOn w:val="1"/>
    <w:qFormat/>
    <w:uiPriority w:val="34"/>
    <w:pPr>
      <w:ind w:firstLine="420"/>
    </w:pPr>
    <w:rPr>
      <w:rFonts w:ascii="Calibri" w:hAnsi="Calibri"/>
    </w:rPr>
  </w:style>
  <w:style w:type="character" w:customStyle="1" w:styleId="23">
    <w:name w:val="标题 4 Char"/>
    <w:link w:val="5"/>
    <w:qFormat/>
    <w:uiPriority w:val="0"/>
    <w:rPr>
      <w:rFonts w:ascii="Arial" w:hAnsi="Arial" w:eastAsia="微软雅黑"/>
      <w:sz w:val="24"/>
    </w:rPr>
  </w:style>
  <w:style w:type="paragraph" w:customStyle="1" w:styleId="24">
    <w:name w:val="Body text|2"/>
    <w:basedOn w:val="1"/>
    <w:qFormat/>
    <w:uiPriority w:val="0"/>
    <w:pPr>
      <w:jc w:val="center"/>
    </w:pPr>
    <w:rPr>
      <w:rFonts w:ascii="宋体" w:hAnsi="宋体" w:cs="宋体"/>
      <w:sz w:val="26"/>
      <w:szCs w:val="26"/>
      <w:lang w:val="zh-TW" w:eastAsia="zh-TW" w:bidi="zh-TW"/>
    </w:rPr>
  </w:style>
  <w:style w:type="paragraph" w:customStyle="1" w:styleId="25">
    <w:name w:val="Other|1"/>
    <w:basedOn w:val="1"/>
    <w:qFormat/>
    <w:uiPriority w:val="0"/>
    <w:rPr>
      <w:rFonts w:ascii="宋体" w:hAnsi="宋体" w:cs="宋体"/>
      <w:sz w:val="15"/>
      <w:szCs w:val="15"/>
      <w:lang w:val="zh-TW" w:eastAsia="zh-TW" w:bidi="zh-TW"/>
    </w:rPr>
  </w:style>
  <w:style w:type="paragraph" w:customStyle="1" w:styleId="26">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7">
    <w:name w:val="正文文本缩进 Char"/>
    <w:link w:val="12"/>
    <w:qFormat/>
    <w:uiPriority w:val="0"/>
    <w:rPr>
      <w:color w:val="auto"/>
      <w:sz w:val="32"/>
      <w:szCs w:val="32"/>
    </w:rPr>
  </w:style>
  <w:style w:type="character" w:customStyle="1" w:styleId="28">
    <w:name w:val="font1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default" w:ascii="Arial" w:hAnsi="Arial" w:cs="Arial"/>
      <w:color w:val="000000"/>
      <w:sz w:val="20"/>
      <w:szCs w:val="20"/>
      <w:u w:val="none"/>
    </w:rPr>
  </w:style>
  <w:style w:type="character" w:customStyle="1" w:styleId="30">
    <w:name w:val="批注框文本 Char"/>
    <w:basedOn w:val="19"/>
    <w:link w:val="15"/>
    <w:qFormat/>
    <w:uiPriority w:val="0"/>
    <w:rPr>
      <w:rFonts w:asciiTheme="minorHAnsi" w:hAnsiTheme="minorHAnsi" w:cstheme="minorBidi"/>
      <w:kern w:val="2"/>
      <w:sz w:val="18"/>
      <w:szCs w:val="18"/>
    </w:rPr>
  </w:style>
  <w:style w:type="character" w:customStyle="1" w:styleId="31">
    <w:name w:val="标题 2 字符"/>
    <w:link w:val="3"/>
    <w:qFormat/>
    <w:uiPriority w:val="0"/>
    <w:rPr>
      <w:rFonts w:ascii="Arial" w:hAnsi="Arial" w:eastAsia="黑体"/>
      <w:b/>
      <w:sz w:val="32"/>
    </w:rPr>
  </w:style>
  <w:style w:type="character" w:customStyle="1" w:styleId="32">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1001</TotalTime>
  <ScaleCrop>false</ScaleCrop>
  <LinksUpToDate>false</LinksUpToDate>
  <CharactersWithSpaces>4327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2023-10-18T06:35:00Z</cp:lastPrinted>
  <dcterms:modified xsi:type="dcterms:W3CDTF">2023-11-06T02:10:09Z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AD16C24773CE41DA82CFA1BFA093DA22_13</vt:lpwstr>
  </property>
</Properties>
</file>