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3"/>
          <w:numId w:val="0"/>
        </w:numPr>
        <w:jc w:val="center"/>
        <w:rPr>
          <w:rFonts w:ascii="微软雅黑" w:hAnsi="微软雅黑" w:cs="微软雅黑"/>
          <w:sz w:val="32"/>
          <w:szCs w:val="32"/>
        </w:rPr>
      </w:pPr>
      <w:r>
        <w:rPr>
          <w:rFonts w:hint="eastAsia" w:ascii="微软雅黑" w:hAnsi="微软雅黑" w:cs="微软雅黑"/>
          <w:sz w:val="32"/>
          <w:szCs w:val="32"/>
        </w:rPr>
        <w:t>丹阳市人民医院氨氮在线设备安装、验收及运维项目需求</w:t>
      </w:r>
    </w:p>
    <w:p/>
    <w:p>
      <w:pPr>
        <w:pStyle w:val="5"/>
        <w:numPr>
          <w:ilvl w:val="3"/>
          <w:numId w:val="0"/>
        </w:numPr>
        <w:bidi w:val="0"/>
        <w:ind w:leftChars="0"/>
        <w:jc w:val="left"/>
      </w:pPr>
      <w:r>
        <w:rPr>
          <w:rFonts w:hint="eastAsia"/>
          <w:lang w:val="en-US" w:eastAsia="zh-CN"/>
        </w:rPr>
        <w:t>一、</w:t>
      </w:r>
      <w:r>
        <w:rPr>
          <w:rFonts w:hint="eastAsia"/>
        </w:rPr>
        <w:t>项目基本情况</w:t>
      </w:r>
    </w:p>
    <w:p>
      <w:pPr>
        <w:numPr>
          <w:ilvl w:val="0"/>
          <w:numId w:val="0"/>
        </w:numPr>
      </w:pPr>
      <w:r>
        <w:rPr>
          <w:rFonts w:hint="eastAsia" w:ascii="宋体" w:hAnsi="宋体" w:cs="宋体"/>
          <w:lang w:val="en-US" w:eastAsia="zh-CN"/>
        </w:rPr>
        <w:t>1.1</w:t>
      </w:r>
      <w:r>
        <w:rPr>
          <w:rFonts w:hint="eastAsia" w:ascii="宋体" w:hAnsi="宋体" w:cs="宋体"/>
        </w:rPr>
        <w:t>名称：</w:t>
      </w:r>
      <w:r>
        <w:rPr>
          <w:rFonts w:hint="eastAsia" w:ascii="宋体" w:hAnsi="宋体" w:cs="宋体"/>
          <w:lang w:eastAsia="zh-CN"/>
        </w:rPr>
        <w:t>丹阳市人民医院氨氮在线设备安装、验收及运维项目</w:t>
      </w:r>
      <w:r>
        <w:rPr>
          <w:rFonts w:hint="eastAsia" w:ascii="宋体" w:hAnsi="宋体" w:cs="宋体"/>
          <w:color w:val="000000"/>
        </w:rPr>
        <w:t>；</w:t>
      </w:r>
    </w:p>
    <w:p>
      <w:pPr>
        <w:rPr>
          <w:rFonts w:hint="eastAsia" w:ascii="宋体" w:hAnsi="宋体" w:cs="宋体"/>
          <w:lang w:val="en-US" w:eastAsia="zh-CN"/>
        </w:rPr>
      </w:pPr>
      <w:r>
        <w:rPr>
          <w:rFonts w:hint="eastAsia" w:ascii="宋体" w:hAnsi="宋体" w:cs="宋体"/>
        </w:rPr>
        <w:t>1.2</w:t>
      </w:r>
      <w:r>
        <w:rPr>
          <w:rFonts w:hint="eastAsia" w:ascii="宋体" w:hAnsi="宋体" w:cs="宋体"/>
          <w:lang w:val="en-US" w:eastAsia="zh-CN"/>
        </w:rPr>
        <w:t xml:space="preserve"> </w:t>
      </w:r>
      <w:r>
        <w:rPr>
          <w:rFonts w:hint="eastAsia" w:ascii="宋体" w:hAnsi="宋体" w:cs="宋体"/>
        </w:rPr>
        <w:t>编号</w:t>
      </w:r>
      <w:r>
        <w:rPr>
          <w:rFonts w:hint="eastAsia" w:ascii="宋体" w:hAnsi="宋体" w:cs="宋体"/>
          <w:lang w:val="en-US" w:eastAsia="zh-CN"/>
        </w:rPr>
        <w:t>:</w:t>
      </w:r>
      <w:r>
        <w:rPr>
          <w:rFonts w:hint="eastAsia" w:ascii="宋体" w:hAnsi="宋体" w:cs="宋体"/>
          <w:color w:val="0000FF"/>
          <w:lang w:eastAsia="zh-CN"/>
        </w:rPr>
        <w:t>DRY-CG-2023037</w:t>
      </w:r>
      <w:r>
        <w:rPr>
          <w:rFonts w:hint="eastAsia" w:ascii="宋体" w:hAnsi="宋体" w:cs="宋体"/>
          <w:color w:val="0000FF"/>
          <w:lang w:val="en-US" w:eastAsia="zh-CN"/>
        </w:rPr>
        <w:t>；</w:t>
      </w:r>
    </w:p>
    <w:p>
      <w:pPr>
        <w:rPr>
          <w:rFonts w:hint="eastAsia" w:ascii="宋体" w:hAnsi="宋体" w:cs="宋体"/>
        </w:rPr>
      </w:pPr>
      <w:r>
        <w:rPr>
          <w:rFonts w:hint="eastAsia" w:ascii="宋体" w:hAnsi="宋体" w:cs="宋体"/>
        </w:rPr>
        <w:t>1.3 预算：64000元，响应报价超过招标控制价的为无效响应文件。</w:t>
      </w:r>
    </w:p>
    <w:p>
      <w:pPr>
        <w:rPr>
          <w:rFonts w:hint="default" w:ascii="宋体" w:hAnsi="宋体" w:eastAsia="宋体" w:cs="宋体"/>
          <w:lang w:val="en-US" w:eastAsia="zh-CN"/>
        </w:rPr>
      </w:pPr>
      <w:r>
        <w:rPr>
          <w:rFonts w:hint="eastAsia" w:ascii="宋体" w:hAnsi="宋体" w:cs="宋体"/>
          <w:lang w:val="en-US" w:eastAsia="zh-CN"/>
        </w:rPr>
        <w:t>1.4 项目需求：污水处理站数据采集上传设备更新，以符合环保最新要求。</w:t>
      </w:r>
    </w:p>
    <w:p>
      <w:pPr>
        <w:pStyle w:val="5"/>
        <w:numPr>
          <w:ilvl w:val="3"/>
          <w:numId w:val="0"/>
        </w:numPr>
        <w:jc w:val="left"/>
        <w:rPr>
          <w:rFonts w:hint="eastAsia" w:eastAsia="微软雅黑"/>
          <w:lang w:eastAsia="zh-CN"/>
        </w:rPr>
      </w:pPr>
      <w:r>
        <w:rPr>
          <w:rFonts w:hint="eastAsia"/>
          <w:lang w:val="en-US" w:eastAsia="zh-CN"/>
        </w:rPr>
        <w:t>二</w:t>
      </w:r>
      <w:r>
        <w:rPr>
          <w:rFonts w:hint="eastAsia"/>
        </w:rPr>
        <w:t>、报名时间及地点</w:t>
      </w:r>
    </w:p>
    <w:p>
      <w:pPr>
        <w:rPr>
          <w:rFonts w:hint="eastAsia" w:ascii="宋体" w:hAnsi="宋体" w:cs="宋体"/>
          <w:bCs/>
          <w:color w:val="0000FF"/>
        </w:rPr>
      </w:pPr>
      <w:r>
        <w:rPr>
          <w:rFonts w:hint="eastAsia" w:ascii="宋体" w:hAnsi="宋体" w:cs="宋体"/>
          <w:bCs/>
          <w:lang w:val="en-US" w:eastAsia="zh-CN"/>
        </w:rPr>
        <w:t>2</w:t>
      </w:r>
      <w:r>
        <w:rPr>
          <w:rFonts w:hint="eastAsia" w:ascii="宋体" w:hAnsi="宋体" w:cs="宋体"/>
          <w:bCs/>
        </w:rPr>
        <w:t>.1 报名时间：</w:t>
      </w:r>
      <w:r>
        <w:rPr>
          <w:rFonts w:hint="eastAsia" w:ascii="宋体" w:hAnsi="宋体" w:cs="宋体"/>
          <w:bCs/>
          <w:color w:val="0000FF"/>
          <w:lang w:val="en-US" w:eastAsia="zh-CN"/>
        </w:rPr>
        <w:t>2023</w:t>
      </w:r>
      <w:r>
        <w:rPr>
          <w:rFonts w:hint="eastAsia" w:ascii="宋体" w:hAnsi="宋体" w:cs="宋体"/>
          <w:bCs/>
          <w:color w:val="0000FF"/>
        </w:rPr>
        <w:t>年</w:t>
      </w:r>
      <w:r>
        <w:rPr>
          <w:rFonts w:hint="eastAsia" w:ascii="宋体" w:hAnsi="宋体" w:cs="宋体"/>
          <w:bCs/>
          <w:color w:val="0000FF"/>
          <w:lang w:val="en-US" w:eastAsia="zh-CN"/>
        </w:rPr>
        <w:t>12</w:t>
      </w:r>
      <w:r>
        <w:rPr>
          <w:rFonts w:hint="eastAsia" w:ascii="宋体" w:hAnsi="宋体" w:cs="宋体"/>
          <w:bCs/>
          <w:color w:val="0000FF"/>
        </w:rPr>
        <w:t>月</w:t>
      </w:r>
      <w:r>
        <w:rPr>
          <w:rFonts w:hint="eastAsia" w:ascii="宋体" w:hAnsi="宋体" w:cs="宋体"/>
          <w:bCs/>
          <w:color w:val="0000FF"/>
          <w:lang w:val="en-US" w:eastAsia="zh-CN"/>
        </w:rPr>
        <w:t xml:space="preserve"> 4 </w:t>
      </w:r>
      <w:r>
        <w:rPr>
          <w:rFonts w:hint="eastAsia" w:ascii="宋体" w:hAnsi="宋体" w:cs="宋体"/>
          <w:bCs/>
          <w:color w:val="0000FF"/>
        </w:rPr>
        <w:t>日至</w:t>
      </w:r>
      <w:r>
        <w:rPr>
          <w:rFonts w:hint="eastAsia" w:ascii="宋体" w:hAnsi="宋体" w:cs="宋体"/>
          <w:bCs/>
          <w:color w:val="0000FF"/>
          <w:lang w:val="en-US" w:eastAsia="zh-CN"/>
        </w:rPr>
        <w:t>2023</w:t>
      </w:r>
      <w:r>
        <w:rPr>
          <w:rFonts w:hint="eastAsia" w:ascii="宋体" w:hAnsi="宋体" w:cs="宋体"/>
          <w:bCs/>
          <w:color w:val="0000FF"/>
        </w:rPr>
        <w:t>年</w:t>
      </w:r>
      <w:r>
        <w:rPr>
          <w:rFonts w:hint="eastAsia" w:ascii="宋体" w:hAnsi="宋体" w:cs="宋体"/>
          <w:bCs/>
          <w:color w:val="0000FF"/>
          <w:lang w:val="en-US" w:eastAsia="zh-CN"/>
        </w:rPr>
        <w:t>12</w:t>
      </w:r>
      <w:r>
        <w:rPr>
          <w:rFonts w:hint="eastAsia" w:ascii="宋体" w:hAnsi="宋体" w:cs="宋体"/>
          <w:bCs/>
          <w:color w:val="0000FF"/>
        </w:rPr>
        <w:t>月</w:t>
      </w:r>
      <w:r>
        <w:rPr>
          <w:rFonts w:hint="eastAsia" w:ascii="宋体" w:hAnsi="宋体" w:cs="宋体"/>
          <w:bCs/>
          <w:color w:val="0000FF"/>
          <w:lang w:val="en-US" w:eastAsia="zh-CN"/>
        </w:rPr>
        <w:t xml:space="preserve"> 10 </w:t>
      </w:r>
      <w:r>
        <w:rPr>
          <w:rFonts w:hint="eastAsia" w:ascii="宋体" w:hAnsi="宋体" w:cs="宋体"/>
          <w:bCs/>
          <w:color w:val="0000FF"/>
        </w:rPr>
        <w:t>日(节假日除外）</w:t>
      </w:r>
    </w:p>
    <w:p>
      <w:pPr>
        <w:rPr>
          <w:rFonts w:ascii="宋体" w:hAnsi="宋体" w:cs="宋体"/>
          <w:bCs/>
        </w:rPr>
      </w:pPr>
      <w:r>
        <w:rPr>
          <w:rFonts w:hint="eastAsia" w:ascii="宋体" w:hAnsi="宋体" w:cs="宋体"/>
          <w:bCs/>
        </w:rPr>
        <w:t>上午8:00-11:00</w:t>
      </w:r>
      <w:r>
        <w:rPr>
          <w:rFonts w:hint="eastAsia" w:ascii="宋体" w:hAnsi="宋体" w:cs="宋体"/>
          <w:bCs/>
          <w:lang w:val="en-US" w:eastAsia="zh-CN"/>
        </w:rPr>
        <w:t xml:space="preserve"> </w:t>
      </w:r>
      <w:r>
        <w:rPr>
          <w:rFonts w:hint="eastAsia" w:ascii="宋体" w:hAnsi="宋体" w:cs="宋体"/>
          <w:bCs/>
        </w:rPr>
        <w:t>下午2:</w:t>
      </w:r>
      <w:r>
        <w:rPr>
          <w:rFonts w:hint="eastAsia" w:ascii="宋体" w:hAnsi="宋体" w:cs="宋体"/>
          <w:bCs/>
          <w:lang w:val="en-US" w:eastAsia="zh-CN"/>
        </w:rPr>
        <w:t>00</w:t>
      </w:r>
      <w:r>
        <w:rPr>
          <w:rFonts w:hint="eastAsia" w:ascii="宋体" w:hAnsi="宋体" w:cs="宋体"/>
          <w:bCs/>
        </w:rPr>
        <w:t>-5:</w:t>
      </w:r>
      <w:r>
        <w:rPr>
          <w:rFonts w:hint="eastAsia" w:ascii="宋体" w:hAnsi="宋体" w:cs="宋体"/>
          <w:bCs/>
          <w:lang w:val="en-US" w:eastAsia="zh-CN"/>
        </w:rPr>
        <w:t>00</w:t>
      </w:r>
      <w:r>
        <w:rPr>
          <w:rFonts w:hint="eastAsia" w:ascii="宋体" w:hAnsi="宋体" w:cs="宋体"/>
          <w:bCs/>
        </w:rPr>
        <w:t>；</w:t>
      </w:r>
    </w:p>
    <w:p>
      <w:pPr>
        <w:rPr>
          <w:rFonts w:ascii="宋体" w:hAnsi="宋体" w:cs="宋体"/>
          <w:bCs/>
        </w:rPr>
      </w:pPr>
      <w:r>
        <w:rPr>
          <w:rFonts w:hint="eastAsia" w:ascii="宋体" w:hAnsi="宋体" w:cs="宋体"/>
          <w:bCs/>
          <w:lang w:val="en-US" w:eastAsia="zh-CN"/>
        </w:rPr>
        <w:t>2</w:t>
      </w:r>
      <w:r>
        <w:rPr>
          <w:rFonts w:hint="eastAsia" w:ascii="宋体" w:hAnsi="宋体" w:cs="宋体"/>
          <w:bCs/>
        </w:rPr>
        <w:t>.2 报名地点：丹阳市人民医院采购中心</w:t>
      </w:r>
      <w:r>
        <w:rPr>
          <w:rFonts w:hint="eastAsia" w:ascii="宋体" w:hAnsi="宋体" w:cs="宋体"/>
          <w:bCs/>
          <w:lang w:eastAsia="zh-CN"/>
        </w:rPr>
        <w:t>（</w:t>
      </w:r>
      <w:r>
        <w:rPr>
          <w:rFonts w:hint="eastAsia" w:ascii="宋体" w:hAnsi="宋体" w:cs="宋体"/>
          <w:bCs/>
        </w:rPr>
        <w:t>丹阳市</w:t>
      </w:r>
      <w:r>
        <w:rPr>
          <w:rFonts w:hint="eastAsia" w:ascii="宋体" w:hAnsi="宋体" w:cs="宋体"/>
          <w:bCs/>
          <w:lang w:eastAsia="zh-CN"/>
        </w:rPr>
        <w:t>西二环路</w:t>
      </w:r>
      <w:r>
        <w:rPr>
          <w:rFonts w:hint="eastAsia" w:ascii="宋体" w:hAnsi="宋体" w:cs="宋体"/>
          <w:bCs/>
        </w:rPr>
        <w:t>教育印刷厂三楼</w:t>
      </w:r>
      <w:r>
        <w:rPr>
          <w:rFonts w:hint="eastAsia" w:ascii="宋体" w:hAnsi="宋体" w:cs="宋体"/>
          <w:bCs/>
          <w:lang w:eastAsia="zh-CN"/>
        </w:rPr>
        <w:t>）</w:t>
      </w:r>
      <w:r>
        <w:rPr>
          <w:rFonts w:hint="eastAsia" w:ascii="宋体" w:hAnsi="宋体" w:cs="宋体"/>
          <w:bCs/>
        </w:rPr>
        <w:t>；</w:t>
      </w:r>
    </w:p>
    <w:p>
      <w:pPr>
        <w:rPr>
          <w:rFonts w:ascii="宋体" w:hAnsi="宋体" w:cs="宋体"/>
          <w:bCs/>
        </w:rPr>
      </w:pPr>
      <w:r>
        <w:rPr>
          <w:rFonts w:hint="eastAsia" w:ascii="宋体" w:hAnsi="宋体" w:cs="宋体"/>
          <w:bCs/>
          <w:lang w:val="en-US" w:eastAsia="zh-CN"/>
        </w:rPr>
        <w:t>2</w:t>
      </w:r>
      <w:r>
        <w:rPr>
          <w:rFonts w:hint="eastAsia" w:ascii="宋体" w:hAnsi="宋体" w:cs="宋体"/>
          <w:bCs/>
        </w:rPr>
        <w:t>.3</w:t>
      </w:r>
      <w:r>
        <w:rPr>
          <w:rFonts w:hint="eastAsia" w:ascii="宋体" w:hAnsi="宋体" w:cs="宋体"/>
          <w:bCs/>
          <w:lang w:val="en-US" w:eastAsia="zh-CN"/>
        </w:rPr>
        <w:t xml:space="preserve"> </w:t>
      </w:r>
      <w:r>
        <w:rPr>
          <w:rFonts w:hint="eastAsia" w:ascii="宋体" w:hAnsi="宋体" w:cs="宋体"/>
          <w:bCs/>
        </w:rPr>
        <w:t>联系人：</w:t>
      </w:r>
      <w:r>
        <w:rPr>
          <w:rFonts w:hint="eastAsia" w:ascii="宋体" w:hAnsi="宋体" w:cs="宋体"/>
          <w:bCs/>
          <w:lang w:eastAsia="zh-CN"/>
        </w:rPr>
        <w:t>杨</w:t>
      </w:r>
      <w:r>
        <w:rPr>
          <w:rFonts w:hint="eastAsia" w:ascii="宋体" w:hAnsi="宋体" w:cs="宋体"/>
          <w:bCs/>
        </w:rPr>
        <w:t>先生；</w:t>
      </w:r>
    </w:p>
    <w:p>
      <w:pPr>
        <w:rPr>
          <w:rFonts w:ascii="宋体" w:hAnsi="宋体" w:cs="宋体"/>
          <w:bCs/>
        </w:rPr>
      </w:pPr>
      <w:r>
        <w:rPr>
          <w:rFonts w:hint="eastAsia" w:ascii="宋体" w:hAnsi="宋体" w:cs="宋体"/>
          <w:bCs/>
          <w:lang w:val="en-US" w:eastAsia="zh-CN"/>
        </w:rPr>
        <w:t>2</w:t>
      </w:r>
      <w:r>
        <w:rPr>
          <w:rFonts w:hint="eastAsia" w:ascii="宋体" w:hAnsi="宋体" w:cs="宋体"/>
          <w:bCs/>
        </w:rPr>
        <w:t>.4</w:t>
      </w:r>
      <w:r>
        <w:rPr>
          <w:rFonts w:hint="eastAsia" w:ascii="宋体" w:hAnsi="宋体" w:cs="宋体"/>
          <w:bCs/>
          <w:lang w:val="en-US" w:eastAsia="zh-CN"/>
        </w:rPr>
        <w:t xml:space="preserve"> </w:t>
      </w:r>
      <w:r>
        <w:rPr>
          <w:rFonts w:hint="eastAsia" w:ascii="宋体" w:hAnsi="宋体" w:cs="宋体"/>
          <w:bCs/>
        </w:rPr>
        <w:t>联系电话：0511-86553123</w:t>
      </w:r>
      <w:r>
        <w:rPr>
          <w:rFonts w:hint="eastAsia" w:ascii="宋体" w:hAnsi="宋体" w:cs="宋体"/>
          <w:bCs/>
          <w:lang w:val="en-US" w:eastAsia="zh-CN"/>
        </w:rPr>
        <w:t>、15189172512</w:t>
      </w:r>
      <w:r>
        <w:rPr>
          <w:rFonts w:hint="eastAsia" w:ascii="宋体" w:hAnsi="宋体" w:cs="宋体"/>
          <w:bCs/>
        </w:rPr>
        <w:t>。</w:t>
      </w:r>
    </w:p>
    <w:p>
      <w:pPr>
        <w:pStyle w:val="5"/>
        <w:numPr>
          <w:ilvl w:val="3"/>
          <w:numId w:val="0"/>
        </w:numPr>
        <w:bidi w:val="0"/>
        <w:ind w:leftChars="0"/>
        <w:jc w:val="left"/>
      </w:pPr>
      <w:r>
        <w:rPr>
          <w:rFonts w:hint="eastAsia"/>
          <w:lang w:val="en-US" w:eastAsia="zh-CN"/>
        </w:rPr>
        <w:t>三、</w:t>
      </w:r>
      <w:r>
        <w:rPr>
          <w:rFonts w:hint="eastAsia"/>
        </w:rPr>
        <w:t>资质要求</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 xml:space="preserve">3.1 </w:t>
      </w:r>
      <w:r>
        <w:rPr>
          <w:b/>
        </w:rPr>
        <w:t>投标人应具备《中华人民共和国政府采购法》第二十二条规定的条件，提供下列材料：</w:t>
      </w:r>
    </w:p>
    <w:p>
      <w:pPr>
        <w:keepNext w:val="0"/>
        <w:keepLines w:val="0"/>
        <w:pageBreakBefore w:val="0"/>
        <w:widowControl w:val="0"/>
        <w:kinsoku/>
        <w:wordWrap/>
        <w:overflowPunct/>
        <w:topLinePunct w:val="0"/>
        <w:autoSpaceDE/>
        <w:autoSpaceDN/>
        <w:bidi w:val="0"/>
        <w:adjustRightInd/>
        <w:snapToGrid/>
        <w:spacing w:line="240" w:lineRule="auto"/>
        <w:textAlignment w:val="auto"/>
      </w:pPr>
      <w: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val="0"/>
        <w:kinsoku/>
        <w:wordWrap/>
        <w:overflowPunct/>
        <w:topLinePunct w:val="0"/>
        <w:autoSpaceDE/>
        <w:autoSpaceDN/>
        <w:bidi w:val="0"/>
        <w:adjustRightInd/>
        <w:snapToGrid/>
        <w:spacing w:line="240" w:lineRule="auto"/>
        <w:textAlignment w:val="auto"/>
      </w:pPr>
      <w:r>
        <w:t>2）有依法缴纳税收和社会保障资金的良好记录：有依法缴纳税收和社会保障资金的良好记录（提供</w:t>
      </w:r>
      <w:r>
        <w:rPr>
          <w:rFonts w:hint="eastAsia"/>
        </w:rPr>
        <w:t>资格承诺函</w:t>
      </w:r>
      <w:r>
        <w:t>）。</w:t>
      </w:r>
    </w:p>
    <w:p>
      <w:pPr>
        <w:keepNext w:val="0"/>
        <w:keepLines w:val="0"/>
        <w:pageBreakBefore w:val="0"/>
        <w:widowControl w:val="0"/>
        <w:kinsoku/>
        <w:wordWrap/>
        <w:overflowPunct/>
        <w:topLinePunct w:val="0"/>
        <w:autoSpaceDE/>
        <w:autoSpaceDN/>
        <w:bidi w:val="0"/>
        <w:adjustRightInd/>
        <w:snapToGrid/>
        <w:spacing w:line="240" w:lineRule="auto"/>
        <w:textAlignment w:val="auto"/>
      </w:pPr>
      <w:r>
        <w:t>3）具有良好的商业信誉和健全的财务会计制度：供应商必须具有良好的商业信誉和健全的财务会计制度（提供</w:t>
      </w:r>
      <w:r>
        <w:rPr>
          <w:rFonts w:hint="eastAsia"/>
        </w:rPr>
        <w:t>资格承诺函</w:t>
      </w:r>
      <w:r>
        <w:t>）。</w:t>
      </w:r>
    </w:p>
    <w:p>
      <w:pPr>
        <w:keepNext w:val="0"/>
        <w:keepLines w:val="0"/>
        <w:pageBreakBefore w:val="0"/>
        <w:widowControl w:val="0"/>
        <w:kinsoku/>
        <w:wordWrap/>
        <w:overflowPunct/>
        <w:topLinePunct w:val="0"/>
        <w:autoSpaceDE/>
        <w:autoSpaceDN/>
        <w:bidi w:val="0"/>
        <w:adjustRightInd/>
        <w:snapToGrid/>
        <w:spacing w:line="240" w:lineRule="auto"/>
        <w:textAlignment w:val="auto"/>
      </w:pPr>
      <w:r>
        <w:t>4）履行合同所必需的设备和专业技术能力：按投标（响应）文件格式填报设备及专业技术能力情况（提供</w:t>
      </w:r>
      <w:r>
        <w:rPr>
          <w:rFonts w:hint="eastAsia"/>
        </w:rPr>
        <w:t>资格承诺函</w:t>
      </w:r>
      <w: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pPr>
      <w:r>
        <w:rPr>
          <w:rFonts w:hint="eastAsia"/>
          <w:b/>
          <w:lang w:val="en-US" w:eastAsia="zh-CN"/>
        </w:rPr>
        <w:t xml:space="preserve">3.2 </w:t>
      </w:r>
      <w:r>
        <w:rPr>
          <w:b/>
        </w:rPr>
        <w:t>本项目特定的资格要求：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pPr>
      <w:r>
        <w:rPr>
          <w:rFonts w:hint="eastAsia"/>
        </w:rPr>
        <w:t>单位负责人为同一人或者存在直接控股、管理关系的不同供应商，不得同时参加本采购项目（或采购包）投标（响应）。为本项目提供整体设计、规范编制或者项目管理、监理、检测等服务的供应商，不得再参与本项目</w:t>
      </w:r>
      <w:r>
        <w:t>投标（响应）。</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pPr>
      <w:r>
        <w:rPr>
          <w:rFonts w:hint="eastAsia" w:ascii="宋体" w:hAnsi="宋体" w:cs="宋体"/>
          <w:lang w:eastAsia="zh-CN"/>
        </w:rPr>
        <w:t>经年检有效的《营业执照》复印件，经营范围包含环境工程施工、污水处理及其相关技术咨询服务。</w:t>
      </w:r>
    </w:p>
    <w:p>
      <w:pPr>
        <w:pStyle w:val="5"/>
        <w:pageBreakBefore w:val="0"/>
        <w:widowControl w:val="0"/>
        <w:numPr>
          <w:ilvl w:val="3"/>
          <w:numId w:val="0"/>
        </w:numPr>
        <w:kinsoku/>
        <w:wordWrap/>
        <w:overflowPunct/>
        <w:topLinePunct w:val="0"/>
        <w:autoSpaceDE/>
        <w:autoSpaceDN/>
        <w:bidi w:val="0"/>
        <w:adjustRightInd/>
        <w:snapToGrid/>
        <w:spacing w:line="360" w:lineRule="auto"/>
        <w:ind w:leftChars="0"/>
        <w:jc w:val="left"/>
        <w:textAlignment w:val="auto"/>
        <w:rPr>
          <w:rFonts w:hint="default" w:ascii="微软雅黑" w:hAnsi="微软雅黑" w:eastAsia="微软雅黑" w:cs="微软雅黑"/>
          <w:b w:val="0"/>
          <w:bCs w:val="0"/>
          <w:color w:val="auto"/>
          <w:sz w:val="24"/>
          <w:szCs w:val="24"/>
          <w:u w:val="none"/>
          <w:lang w:val="en-US" w:eastAsia="zh-CN"/>
        </w:rPr>
      </w:pPr>
      <w:r>
        <w:rPr>
          <w:rFonts w:hint="eastAsia" w:ascii="微软雅黑" w:hAnsi="微软雅黑" w:cs="微软雅黑"/>
          <w:b w:val="0"/>
          <w:bCs w:val="0"/>
          <w:color w:val="auto"/>
          <w:sz w:val="24"/>
          <w:szCs w:val="24"/>
          <w:u w:val="none"/>
          <w:lang w:val="en-US" w:eastAsia="zh-CN"/>
        </w:rPr>
        <w:t>四</w:t>
      </w:r>
      <w:r>
        <w:rPr>
          <w:rFonts w:hint="eastAsia" w:ascii="微软雅黑" w:hAnsi="微软雅黑" w:eastAsia="微软雅黑" w:cs="微软雅黑"/>
          <w:b w:val="0"/>
          <w:bCs w:val="0"/>
          <w:color w:val="auto"/>
          <w:sz w:val="24"/>
          <w:szCs w:val="24"/>
          <w:u w:val="none"/>
          <w:lang w:val="en-US" w:eastAsia="zh-CN"/>
        </w:rPr>
        <w:t>、设备</w:t>
      </w:r>
      <w:r>
        <w:rPr>
          <w:rFonts w:hint="eastAsia" w:ascii="微软雅黑" w:hAnsi="微软雅黑" w:cs="微软雅黑"/>
          <w:b w:val="0"/>
          <w:bCs w:val="0"/>
          <w:color w:val="auto"/>
          <w:sz w:val="24"/>
          <w:szCs w:val="24"/>
          <w:u w:val="none"/>
          <w:lang w:val="en-US" w:eastAsia="zh-CN"/>
        </w:rPr>
        <w:t>及保修期要求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rPr>
      </w:pPr>
      <w:r>
        <w:rPr>
          <w:rFonts w:hint="eastAsia" w:eastAsia="宋体"/>
          <w:lang w:val="en-US" w:eastAsia="zh-CN"/>
        </w:rPr>
        <w:t>4.1 勘察要求：本项目因受场地限制</w:t>
      </w:r>
      <w:r>
        <w:rPr>
          <w:rFonts w:hint="eastAsia" w:eastAsia="宋体"/>
          <w:lang w:val="zh-CN" w:eastAsia="zh-CN"/>
        </w:rPr>
        <w:t>，</w:t>
      </w:r>
      <w:r>
        <w:rPr>
          <w:rFonts w:hint="eastAsia" w:eastAsia="宋体"/>
          <w:lang w:val="en-US" w:eastAsia="zh-CN"/>
        </w:rPr>
        <w:t>供应商须在响应文件递交截止之日前进行现场勘察，并提供</w:t>
      </w:r>
      <w:r>
        <w:rPr>
          <w:rFonts w:hint="eastAsia" w:eastAsia="宋体"/>
          <w:lang w:val="zh-CN" w:eastAsia="zh-CN"/>
        </w:rPr>
        <w:t>采购</w:t>
      </w:r>
      <w:r>
        <w:rPr>
          <w:rFonts w:hint="eastAsia" w:eastAsia="宋体"/>
          <w:lang w:val="en-US" w:eastAsia="zh-CN"/>
        </w:rPr>
        <w:t>单位现场勘察联系人签字确认</w:t>
      </w:r>
      <w:r>
        <w:rPr>
          <w:rFonts w:hint="eastAsia" w:eastAsia="宋体"/>
          <w:lang w:val="zh-CN" w:eastAsia="zh-CN"/>
        </w:rPr>
        <w:t>的现场</w:t>
      </w:r>
      <w:r>
        <w:rPr>
          <w:rFonts w:hint="eastAsia" w:eastAsia="宋体"/>
          <w:lang w:val="en-US" w:eastAsia="zh-CN"/>
        </w:rPr>
        <w:t>勘察</w:t>
      </w:r>
      <w:r>
        <w:rPr>
          <w:rFonts w:hint="eastAsia" w:eastAsia="宋体"/>
          <w:lang w:val="zh-CN" w:eastAsia="zh-CN"/>
        </w:rPr>
        <w:t>确认函（见附件</w:t>
      </w:r>
      <w:r>
        <w:rPr>
          <w:rFonts w:hint="eastAsia" w:eastAsia="宋体"/>
          <w:lang w:val="en-US" w:eastAsia="zh-CN"/>
        </w:rPr>
        <w:t>1</w:t>
      </w:r>
      <w:r>
        <w:rPr>
          <w:rFonts w:hint="eastAsia" w:eastAsia="宋体"/>
          <w:lang w:val="zh-CN" w:eastAsia="zh-CN"/>
        </w:rPr>
        <w:t>）</w:t>
      </w:r>
      <w:r>
        <w:rPr>
          <w:rFonts w:hint="eastAsia" w:eastAsia="宋体"/>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lang w:val="en-US" w:eastAsia="zh-CN"/>
        </w:rPr>
      </w:pPr>
      <w:r>
        <w:rPr>
          <w:rFonts w:hint="eastAsia" w:eastAsia="宋体"/>
          <w:lang w:val="en-US" w:eastAsia="zh-CN"/>
        </w:rPr>
        <w:t>4.2 设备要求：供应商提供的设备应完全符合现行国家及江苏省环保技术规范。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4.2.1 氨氮在线监测设备1台，</w:t>
      </w:r>
      <w:r>
        <w:rPr>
          <w:rFonts w:hint="eastAsia"/>
          <w:lang w:val="en-US" w:eastAsia="zh-CN"/>
        </w:rPr>
        <w:t>要求</w:t>
      </w:r>
      <w:r>
        <w:rPr>
          <w:rFonts w:hint="eastAsia" w:eastAsia="宋体"/>
          <w:lang w:val="en-US" w:eastAsia="zh-CN"/>
        </w:rPr>
        <w:t>通过中国环境保护产业协会认证，拥有环保认证证书的产品，并确保能够通过环保部门的备案。。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4.2.2 环保数采仪1台，</w:t>
      </w:r>
      <w:r>
        <w:rPr>
          <w:rFonts w:hint="eastAsia"/>
          <w:lang w:val="en-US" w:eastAsia="zh-CN"/>
        </w:rPr>
        <w:t>要求</w:t>
      </w:r>
      <w:r>
        <w:rPr>
          <w:rFonts w:hint="eastAsia" w:eastAsia="宋体"/>
          <w:lang w:val="en-US" w:eastAsia="zh-CN"/>
        </w:rPr>
        <w:t>通过中国环境保护产业协会认证，拥有环保认证证书的产品，并确保能够通过环保部门的备案。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bookmarkStart w:id="8" w:name="_GoBack"/>
      <w:bookmarkEnd w:id="8"/>
      <w:r>
        <w:rPr>
          <w:rFonts w:hint="eastAsia" w:eastAsia="宋体"/>
          <w:lang w:val="en-US" w:eastAsia="zh-CN"/>
        </w:rPr>
        <w:t>4.3 设备保修期：两年。</w:t>
      </w:r>
    </w:p>
    <w:p>
      <w:pPr>
        <w:pStyle w:val="5"/>
        <w:numPr>
          <w:ilvl w:val="3"/>
          <w:numId w:val="0"/>
        </w:numPr>
        <w:jc w:val="left"/>
        <w:rPr>
          <w:rFonts w:hint="eastAsia"/>
          <w:lang w:val="en-US" w:eastAsia="zh-CN"/>
        </w:rPr>
      </w:pPr>
      <w:r>
        <w:rPr>
          <w:rFonts w:hint="eastAsia"/>
          <w:lang w:val="en-US" w:eastAsia="zh-CN"/>
        </w:rPr>
        <w:t>五、运维要求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5.1 运维期：无固定期限。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5.2 运维人员资质要求：持证上岗（污水化验监测、污水处理设备操作等相关证书）。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5.3 运维单位资质要求：环境工程施工、污水处理及其相关技术咨询服务。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5.4 负责</w:t>
      </w:r>
      <w:r>
        <w:rPr>
          <w:rFonts w:hint="eastAsia"/>
          <w:lang w:val="en-US" w:eastAsia="zh-CN"/>
        </w:rPr>
        <w:t>供应</w:t>
      </w:r>
      <w:r>
        <w:rPr>
          <w:rFonts w:hint="eastAsia" w:eastAsia="宋体"/>
          <w:lang w:val="en-US" w:eastAsia="zh-CN"/>
        </w:rPr>
        <w:t>运维期间所需所有试剂（掩蔽剂、显色计、标定液等）。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5.5 按需对设备进行标定。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5.6 对传输中出现的异常数据，负责与省环保平台沟通，承担相应责任。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5.7 根据环保要求，对污水定期进行人工与设备检测比对工作。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5.8 建立符合环保要求的运行台账。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5.9 配合环保、疾控及院方检查等。</w:t>
      </w:r>
    </w:p>
    <w:p>
      <w:pPr>
        <w:pStyle w:val="5"/>
        <w:numPr>
          <w:ilvl w:val="3"/>
          <w:numId w:val="0"/>
        </w:numPr>
        <w:jc w:val="left"/>
        <w:rPr>
          <w:rFonts w:hint="eastAsia"/>
          <w:lang w:val="en-US" w:eastAsia="zh-CN"/>
        </w:rPr>
      </w:pPr>
      <w:r>
        <w:rPr>
          <w:rFonts w:hint="eastAsia"/>
          <w:lang w:val="en-US" w:eastAsia="zh-CN"/>
        </w:rPr>
        <w:t>六、报价要求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6.1 项目招标控制价：64000元，响应报价超过招标控制价的为无效响应文件。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6.2 项目招标控制价由两部分组成：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6.2.1 设备及验收备案费用，单独报价。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6.2.2 设备运维费用，运维费按五个月报总价，并报月运维单价。</w:t>
      </w:r>
    </w:p>
    <w:p>
      <w:pPr>
        <w:pStyle w:val="5"/>
        <w:numPr>
          <w:ilvl w:val="3"/>
          <w:numId w:val="0"/>
        </w:numPr>
        <w:jc w:val="left"/>
        <w:rPr>
          <w:rFonts w:hint="eastAsia"/>
          <w:lang w:val="en-US" w:eastAsia="zh-CN"/>
        </w:rPr>
      </w:pPr>
      <w:r>
        <w:rPr>
          <w:rFonts w:hint="eastAsia"/>
          <w:lang w:val="en-US" w:eastAsia="zh-CN"/>
        </w:rPr>
        <w:t>七、运维考核标准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lang w:val="en-US" w:eastAsia="zh-CN"/>
        </w:rPr>
      </w:pPr>
      <w:r>
        <w:rPr>
          <w:rFonts w:hint="eastAsia" w:eastAsia="宋体"/>
          <w:lang w:val="en-US" w:eastAsia="zh-CN"/>
        </w:rPr>
        <w:t>月度考核分值为100分，每月支付运维费前，对照运维考核表计算出当月考核总得分（见附件2）: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lang w:val="en-US" w:eastAsia="zh-CN"/>
        </w:rPr>
        <w:t>7</w:t>
      </w:r>
      <w:r>
        <w:rPr>
          <w:rFonts w:hint="eastAsia" w:eastAsia="宋体"/>
          <w:lang w:val="en-US" w:eastAsia="zh-CN"/>
        </w:rPr>
        <w:t>.1 考核总得分≥90分为合格，院方按</w:t>
      </w:r>
      <w:r>
        <w:rPr>
          <w:rFonts w:hint="eastAsia"/>
          <w:lang w:val="en-US" w:eastAsia="zh-CN"/>
        </w:rPr>
        <w:t>中标价全额支付当月维保费</w:t>
      </w:r>
      <w:r>
        <w:rPr>
          <w:rFonts w:hint="eastAsia" w:eastAsia="宋体"/>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lang w:val="en-US" w:eastAsia="zh-CN"/>
        </w:rPr>
        <w:t>7</w:t>
      </w:r>
      <w:r>
        <w:rPr>
          <w:rFonts w:hint="eastAsia" w:eastAsia="宋体"/>
          <w:lang w:val="en-US" w:eastAsia="zh-CN"/>
        </w:rPr>
        <w:t>.2 80≤考核总得分＜90分，每下降1分，扣除50元。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lang w:val="en-US" w:eastAsia="zh-CN"/>
        </w:rPr>
        <w:t>7</w:t>
      </w:r>
      <w:r>
        <w:rPr>
          <w:rFonts w:hint="eastAsia" w:eastAsia="宋体"/>
          <w:lang w:val="en-US" w:eastAsia="zh-CN"/>
        </w:rPr>
        <w:t>.3 考核总得分＜80分，扣除当月全部运维费。</w:t>
      </w:r>
    </w:p>
    <w:p>
      <w:pPr>
        <w:pStyle w:val="5"/>
        <w:numPr>
          <w:ilvl w:val="3"/>
          <w:numId w:val="0"/>
        </w:numPr>
        <w:jc w:val="left"/>
        <w:rPr>
          <w:rFonts w:hint="eastAsia"/>
          <w:lang w:val="en-US" w:eastAsia="zh-CN"/>
        </w:rPr>
      </w:pPr>
      <w:r>
        <w:rPr>
          <w:rFonts w:hint="eastAsia"/>
          <w:lang w:val="en-US" w:eastAsia="zh-CN"/>
        </w:rPr>
        <w:t>八、商务要求</w:t>
      </w:r>
    </w:p>
    <w:tbl>
      <w:tblPr>
        <w:tblStyle w:val="20"/>
        <w:tblW w:w="494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1"/>
        <w:gridCol w:w="65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pPr>
              <w:jc w:val="center"/>
            </w:pPr>
            <w:r>
              <w:t>标的</w:t>
            </w:r>
            <w:r>
              <w:rPr>
                <w:rFonts w:hint="eastAsia"/>
              </w:rPr>
              <w:t>完成</w:t>
            </w:r>
            <w:r>
              <w:t>时间</w:t>
            </w:r>
          </w:p>
        </w:tc>
        <w:tc>
          <w:tcPr>
            <w:tcW w:w="387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eastAsia="宋体" w:asciiTheme="minorHAnsi" w:hAnsiTheme="minorHAnsi" w:cstheme="minorBidi"/>
                <w:kern w:val="2"/>
                <w:sz w:val="24"/>
                <w:szCs w:val="24"/>
                <w:lang w:val="en-US" w:eastAsia="zh-CN" w:bidi="ar-SA"/>
              </w:rPr>
              <w:t>签订合同后30日内完成原设备拆除、新设备安装与调试工作，完成“第三方”验收及环保部门备案工作。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pPr>
              <w:jc w:val="center"/>
              <w:rPr>
                <w:rFonts w:ascii="宋体" w:hAnsi="宋体" w:eastAsia="宋体" w:cs="宋体"/>
              </w:rPr>
            </w:pPr>
            <w:r>
              <w:rPr>
                <w:rFonts w:hint="eastAsia" w:ascii="宋体" w:hAnsi="宋体" w:eastAsia="宋体" w:cs="宋体"/>
              </w:rPr>
              <w:t>标的提供的地点</w:t>
            </w:r>
          </w:p>
        </w:tc>
        <w:tc>
          <w:tcPr>
            <w:tcW w:w="3871" w:type="pct"/>
            <w:vAlign w:val="center"/>
          </w:tcPr>
          <w:p>
            <w:pPr>
              <w:jc w:val="both"/>
              <w:rPr>
                <w:rFonts w:ascii="宋体" w:hAnsi="宋体" w:eastAsia="宋体" w:cs="宋体"/>
              </w:rPr>
            </w:pPr>
            <w:r>
              <w:rPr>
                <w:rFonts w:hint="eastAsia" w:ascii="宋体" w:hAnsi="宋体" w:eastAsia="宋体" w:cs="宋体"/>
              </w:rPr>
              <w:t>丹阳市人民医院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00" w:hRule="atLeast"/>
        </w:trPr>
        <w:tc>
          <w:tcPr>
            <w:tcW w:w="1128" w:type="pct"/>
            <w:vAlign w:val="center"/>
          </w:tcPr>
          <w:p>
            <w:pPr>
              <w:jc w:val="center"/>
              <w:rPr>
                <w:rFonts w:ascii="宋体" w:hAnsi="宋体" w:eastAsia="宋体" w:cs="宋体"/>
              </w:rPr>
            </w:pPr>
            <w:r>
              <w:rPr>
                <w:rFonts w:hint="eastAsia" w:ascii="宋体" w:hAnsi="宋体" w:eastAsia="宋体" w:cs="宋体"/>
              </w:rPr>
              <w:t>验收标准</w:t>
            </w:r>
          </w:p>
        </w:tc>
        <w:tc>
          <w:tcPr>
            <w:tcW w:w="387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1.设备品牌符合招标要求，设备均安装调试到位并投入正常使用，产品合格证、说明书已交于院方。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eastAsia="宋体"/>
                <w:lang w:val="en-US" w:eastAsia="zh-CN"/>
              </w:rPr>
              <w:t>2.设备符合现行国家和江苏省技术规范，“第三方”验收工作已完成，环保部门已备案。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pPr>
              <w:jc w:val="center"/>
              <w:rPr>
                <w:rFonts w:ascii="宋体" w:hAnsi="宋体" w:eastAsia="宋体" w:cs="宋体"/>
              </w:rPr>
            </w:pPr>
            <w:r>
              <w:rPr>
                <w:rFonts w:hint="eastAsia" w:ascii="宋体" w:hAnsi="宋体" w:eastAsia="宋体" w:cs="宋体"/>
              </w:rPr>
              <w:t>付款方式</w:t>
            </w:r>
          </w:p>
        </w:tc>
        <w:tc>
          <w:tcPr>
            <w:tcW w:w="387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1.设备及验收备案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1）设备正常运行，“第三方”验收合格，环保部门备案工作已完成，支付80％的设备及验收备案费用。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2）验收合格满两年，设备及验收备案费用余款付清。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lang w:val="en-US" w:eastAsia="zh-CN"/>
              </w:rPr>
            </w:pPr>
            <w:r>
              <w:rPr>
                <w:rFonts w:hint="eastAsia" w:eastAsia="宋体"/>
                <w:lang w:val="en-US" w:eastAsia="zh-CN"/>
              </w:rPr>
              <w:t>2.运维费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1）设备投入正常运行即进入设备运维期，运维费参照投标文件中所填报的月单价每月结算。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eastAsia="宋体"/>
                <w:lang w:val="en-US" w:eastAsia="zh-CN"/>
              </w:rPr>
              <w:t>2）如运维期＞五个月，院方仍有运维需求，则设备供应商仍需按此月单价继续运维，直至院方通知停止运维之日止。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rPr>
            </w:pPr>
            <w:r>
              <w:rPr>
                <w:rFonts w:hint="eastAsia" w:eastAsia="宋体"/>
                <w:lang w:val="en-US" w:eastAsia="zh-CN"/>
              </w:rPr>
              <w:t>3）运维期出现不满一个月的情况，运维费按此公式计算支付：月单价÷30</w:t>
            </w:r>
            <w:r>
              <w:rPr>
                <w:rFonts w:hint="default" w:eastAsia="宋体"/>
                <w:lang w:val="en-US" w:eastAsia="zh-CN"/>
              </w:rPr>
              <w:t>×</w:t>
            </w:r>
            <w:r>
              <w:rPr>
                <w:rFonts w:hint="eastAsia" w:eastAsia="宋体"/>
                <w:lang w:val="en-US" w:eastAsia="zh-CN"/>
              </w:rPr>
              <w:t>实际运维天数。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pPr>
              <w:jc w:val="center"/>
              <w:rPr>
                <w:rFonts w:hint="eastAsia" w:ascii="宋体" w:hAnsi="宋体" w:eastAsia="宋体" w:cs="宋体"/>
              </w:rPr>
            </w:pPr>
            <w:r>
              <w:rPr>
                <w:rFonts w:hint="eastAsia"/>
                <w:lang w:val="en-US" w:eastAsia="zh-CN"/>
              </w:rPr>
              <w:t>质保及售后服务</w:t>
            </w:r>
          </w:p>
        </w:tc>
        <w:tc>
          <w:tcPr>
            <w:tcW w:w="3871"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lang w:val="en-US" w:eastAsia="zh-CN"/>
              </w:rPr>
              <w:t>1.</w:t>
            </w:r>
            <w:r>
              <w:rPr>
                <w:rFonts w:hint="eastAsia" w:eastAsia="宋体"/>
                <w:lang w:val="en-US" w:eastAsia="zh-CN"/>
              </w:rPr>
              <w:t>质量保证期：“第三方”验收合格后两年。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lang w:val="en-US" w:eastAsia="zh-CN"/>
              </w:rPr>
              <w:t>2.</w:t>
            </w:r>
            <w:r>
              <w:rPr>
                <w:rFonts w:hint="eastAsia" w:eastAsia="宋体"/>
                <w:lang w:val="en-US" w:eastAsia="zh-CN"/>
              </w:rPr>
              <w:t>在保修期内，因成交供应商所供设备、材料质量或安装问题出现设备故障时，成交供应商在接采购人通知后，2小时内至现场，免费予以修复排除故障，无法修复排除的应更换所供设备。成交供应商还应支付因更换设备所产生的运输费、安装费、“第三方”验收费、备案费等所有因设备故障而产出的一切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lang w:val="en-US" w:eastAsia="zh-CN"/>
              </w:rPr>
              <w:t>3.</w:t>
            </w:r>
            <w:r>
              <w:rPr>
                <w:rFonts w:hint="eastAsia" w:eastAsia="宋体"/>
                <w:lang w:val="en-US" w:eastAsia="zh-CN"/>
              </w:rPr>
              <w:t>在保修期内，如非成交供应商运维而出现的设备故障，维修费用由实际运维方支付，但成交供应商需举证，否则视为设备质量问题，仍</w:t>
            </w:r>
            <w:r>
              <w:rPr>
                <w:rFonts w:hint="eastAsia"/>
                <w:lang w:val="en-US" w:eastAsia="zh-CN"/>
              </w:rPr>
              <w:t>由</w:t>
            </w:r>
            <w:r>
              <w:rPr>
                <w:rFonts w:hint="eastAsia" w:eastAsia="宋体"/>
                <w:lang w:val="en-US" w:eastAsia="zh-CN"/>
              </w:rPr>
              <w:t>成交供应商负责免费修复。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val="en-US" w:eastAsia="zh-CN"/>
              </w:rPr>
            </w:pPr>
          </w:p>
        </w:tc>
      </w:tr>
    </w:tbl>
    <w:p>
      <w:pPr>
        <w:pStyle w:val="5"/>
        <w:numPr>
          <w:ilvl w:val="3"/>
          <w:numId w:val="0"/>
        </w:numPr>
        <w:jc w:val="left"/>
        <w:rPr>
          <w:rFonts w:hint="eastAsia"/>
          <w:lang w:val="en-US" w:eastAsia="zh-CN"/>
        </w:rPr>
      </w:pPr>
      <w:r>
        <w:rPr>
          <w:rFonts w:hint="eastAsia"/>
          <w:lang w:val="en-US" w:eastAsia="zh-CN"/>
        </w:rPr>
        <w:t>九、招标时间及地点</w:t>
      </w:r>
    </w:p>
    <w:p>
      <w:pPr>
        <w:rPr>
          <w:rFonts w:ascii="宋体" w:hAnsi="宋体" w:cs="宋体"/>
          <w:bCs/>
        </w:rPr>
      </w:pPr>
      <w:r>
        <w:rPr>
          <w:rFonts w:hint="eastAsia" w:ascii="宋体" w:hAnsi="宋体" w:cs="宋体"/>
          <w:bCs/>
          <w:lang w:val="en-US" w:eastAsia="zh-CN"/>
        </w:rPr>
        <w:t>9</w:t>
      </w:r>
      <w:r>
        <w:rPr>
          <w:rFonts w:hint="eastAsia" w:ascii="宋体" w:hAnsi="宋体" w:cs="宋体"/>
          <w:bCs/>
        </w:rPr>
        <w:t>.1 开标时间：医院通知；</w:t>
      </w:r>
    </w:p>
    <w:p>
      <w:pPr>
        <w:rPr>
          <w:rFonts w:ascii="宋体" w:hAnsi="宋体" w:cs="宋体"/>
          <w:bCs/>
        </w:rPr>
      </w:pPr>
      <w:r>
        <w:rPr>
          <w:rFonts w:hint="eastAsia" w:ascii="宋体" w:hAnsi="宋体" w:cs="宋体"/>
          <w:bCs/>
          <w:lang w:val="en-US" w:eastAsia="zh-CN"/>
        </w:rPr>
        <w:t>9</w:t>
      </w:r>
      <w:r>
        <w:rPr>
          <w:rFonts w:hint="eastAsia" w:ascii="宋体" w:hAnsi="宋体" w:cs="宋体"/>
          <w:bCs/>
        </w:rPr>
        <w:t>.2 招标地点：院内会议室；</w:t>
      </w:r>
    </w:p>
    <w:p>
      <w:pPr>
        <w:rPr>
          <w:rFonts w:hint="eastAsia" w:ascii="宋体" w:hAnsi="宋体" w:cs="宋体"/>
          <w:bCs/>
          <w:lang w:val="en-US" w:eastAsia="zh-CN"/>
        </w:rPr>
      </w:pPr>
      <w:r>
        <w:rPr>
          <w:rFonts w:hint="eastAsia" w:ascii="宋体" w:hAnsi="宋体" w:cs="宋体"/>
          <w:bCs/>
          <w:lang w:val="en-US" w:eastAsia="zh-CN"/>
        </w:rPr>
        <w:t>9</w:t>
      </w:r>
      <w:r>
        <w:rPr>
          <w:rFonts w:hint="eastAsia" w:ascii="宋体" w:hAnsi="宋体" w:cs="宋体"/>
          <w:bCs/>
        </w:rPr>
        <w:t>.3 招标方式：</w:t>
      </w:r>
      <w:r>
        <w:rPr>
          <w:rFonts w:hint="eastAsia" w:ascii="宋体" w:hAnsi="宋体" w:cs="宋体"/>
          <w:bCs/>
          <w:lang w:val="en-US" w:eastAsia="zh-CN"/>
        </w:rPr>
        <w:t>竞争性谈判；</w:t>
      </w:r>
    </w:p>
    <w:p>
      <w:pPr>
        <w:rPr>
          <w:rFonts w:hint="eastAsia" w:ascii="宋体" w:hAnsi="宋体" w:eastAsia="宋体" w:cs="宋体"/>
          <w:bCs/>
          <w:lang w:eastAsia="zh-CN"/>
        </w:rPr>
      </w:pPr>
      <w:r>
        <w:rPr>
          <w:rFonts w:hint="eastAsia" w:ascii="宋体" w:hAnsi="宋体" w:cs="宋体"/>
          <w:bCs/>
          <w:lang w:val="en-US" w:eastAsia="zh-CN"/>
        </w:rPr>
        <w:t>9</w:t>
      </w:r>
      <w:r>
        <w:rPr>
          <w:rFonts w:hint="eastAsia" w:ascii="宋体" w:hAnsi="宋体" w:cs="宋体"/>
          <w:bCs/>
        </w:rPr>
        <w:t>.4 投标文件1</w:t>
      </w:r>
      <w:r>
        <w:rPr>
          <w:rFonts w:hint="eastAsia" w:ascii="宋体" w:hAnsi="宋体" w:cs="宋体"/>
          <w:bCs/>
          <w:lang w:val="en-US" w:eastAsia="zh-CN"/>
        </w:rPr>
        <w:t>份</w:t>
      </w:r>
      <w:r>
        <w:rPr>
          <w:rFonts w:hint="eastAsia" w:ascii="宋体" w:hAnsi="宋体" w:cs="宋体"/>
          <w:bCs/>
        </w:rPr>
        <w:t>，开标时提供（格式参见第二部分）</w:t>
      </w:r>
      <w:r>
        <w:rPr>
          <w:rFonts w:hint="eastAsia" w:ascii="宋体" w:hAnsi="宋体" w:cs="宋体"/>
          <w:bCs/>
          <w:lang w:eastAsia="zh-CN"/>
        </w:rPr>
        <w:t>；</w:t>
      </w:r>
    </w:p>
    <w:p>
      <w:pPr>
        <w:rPr>
          <w:rFonts w:hint="eastAsia" w:ascii="宋体" w:hAnsi="宋体" w:eastAsia="宋体" w:cs="宋体"/>
          <w:bCs/>
          <w:lang w:eastAsia="zh-CN"/>
        </w:rPr>
      </w:pPr>
      <w:r>
        <w:rPr>
          <w:rFonts w:hint="eastAsia" w:ascii="宋体" w:hAnsi="宋体" w:cs="宋体"/>
          <w:bCs/>
          <w:lang w:val="en-US" w:eastAsia="zh-CN"/>
        </w:rPr>
        <w:t>9.5 评标办法：价格分100%</w:t>
      </w:r>
      <w:r>
        <w:rPr>
          <w:rFonts w:hint="eastAsia" w:ascii="宋体" w:hAnsi="宋体" w:cs="宋体"/>
          <w:bCs/>
        </w:rPr>
        <w:t>（</w:t>
      </w:r>
      <w:r>
        <w:rPr>
          <w:rFonts w:hint="eastAsia" w:ascii="宋体" w:hAnsi="宋体" w:cs="宋体"/>
          <w:bCs/>
          <w:lang w:val="en-US" w:eastAsia="zh-CN"/>
        </w:rPr>
        <w:t>无特殊情况，</w:t>
      </w:r>
      <w:r>
        <w:rPr>
          <w:rFonts w:hint="eastAsia" w:ascii="宋体" w:hAnsi="宋体" w:cs="宋体"/>
          <w:bCs/>
        </w:rPr>
        <w:t>报价为一次性报价</w:t>
      </w:r>
      <w:r>
        <w:rPr>
          <w:rFonts w:hint="eastAsia" w:ascii="宋体" w:hAnsi="宋体" w:cs="宋体"/>
          <w:bCs/>
          <w:lang w:eastAsia="zh-CN"/>
        </w:rPr>
        <w:t>。</w:t>
      </w:r>
      <w:r>
        <w:rPr>
          <w:rFonts w:hint="eastAsia" w:ascii="宋体" w:hAnsi="宋体" w:cs="宋体"/>
          <w:bCs/>
          <w:lang w:val="en-US" w:eastAsia="zh-CN"/>
        </w:rPr>
        <w:t>如评分得分总分相同，以</w:t>
      </w:r>
      <w:r>
        <w:rPr>
          <w:rFonts w:hint="eastAsia" w:eastAsia="宋体"/>
          <w:lang w:val="en-US" w:eastAsia="zh-CN"/>
        </w:rPr>
        <w:t>设备及验收备案费用</w:t>
      </w:r>
      <w:r>
        <w:rPr>
          <w:rFonts w:hint="eastAsia"/>
          <w:lang w:val="en-US" w:eastAsia="zh-CN"/>
        </w:rPr>
        <w:t>评分项得分高者为中标候选人；如</w:t>
      </w:r>
      <w:r>
        <w:rPr>
          <w:rFonts w:hint="eastAsia" w:eastAsia="宋体"/>
          <w:lang w:val="en-US" w:eastAsia="zh-CN"/>
        </w:rPr>
        <w:t>设备及验收备案费用</w:t>
      </w:r>
      <w:r>
        <w:rPr>
          <w:rFonts w:hint="eastAsia"/>
          <w:lang w:val="en-US" w:eastAsia="zh-CN"/>
        </w:rPr>
        <w:t>评分项得分相同，则并列第一名投标人进行二次报价，直至选出得分最高的投标人</w:t>
      </w:r>
      <w:r>
        <w:rPr>
          <w:rFonts w:hint="eastAsia" w:ascii="宋体" w:hAnsi="宋体" w:cs="宋体"/>
          <w:bCs/>
        </w:rPr>
        <w:t>）</w:t>
      </w:r>
      <w:r>
        <w:rPr>
          <w:rFonts w:hint="eastAsia" w:ascii="宋体" w:hAnsi="宋体" w:cs="宋体"/>
          <w:bCs/>
          <w:lang w:eastAsia="zh-CN"/>
        </w:rPr>
        <w:t>。</w:t>
      </w:r>
    </w:p>
    <w:p>
      <w:pPr>
        <w:rPr>
          <w:rFonts w:hint="eastAsia" w:ascii="宋体" w:hAnsi="宋体" w:cs="宋体"/>
          <w:bCs/>
          <w:lang w:val="en-US"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jc w:val="center"/>
              <w:rPr>
                <w:rFonts w:hint="default" w:ascii="宋体" w:hAnsi="宋体" w:cs="宋体"/>
                <w:b/>
                <w:bCs w:val="0"/>
                <w:vertAlign w:val="baseline"/>
                <w:lang w:val="en-US" w:eastAsia="zh-CN"/>
              </w:rPr>
            </w:pPr>
            <w:r>
              <w:rPr>
                <w:rFonts w:hint="eastAsia" w:ascii="宋体" w:hAnsi="宋体" w:cs="宋体"/>
                <w:b/>
                <w:bCs w:val="0"/>
                <w:vertAlign w:val="baseline"/>
                <w:lang w:val="en-US" w:eastAsia="zh-CN"/>
              </w:rPr>
              <w:t>项目及分值</w:t>
            </w:r>
          </w:p>
        </w:tc>
        <w:tc>
          <w:tcPr>
            <w:tcW w:w="6166" w:type="dxa"/>
          </w:tcPr>
          <w:p>
            <w:pPr>
              <w:jc w:val="center"/>
              <w:rPr>
                <w:rFonts w:hint="default" w:ascii="宋体" w:hAnsi="宋体" w:cs="宋体"/>
                <w:b/>
                <w:bCs w:val="0"/>
                <w:vertAlign w:val="baseline"/>
                <w:lang w:val="en-US" w:eastAsia="zh-CN"/>
              </w:rPr>
            </w:pPr>
            <w:r>
              <w:rPr>
                <w:rFonts w:hint="default" w:ascii="宋体" w:hAnsi="宋体" w:eastAsia="宋体" w:cs="宋体"/>
                <w:b/>
                <w:bCs w:val="0"/>
                <w:color w:val="000000" w:themeColor="text1"/>
                <w:kern w:val="2"/>
                <w:sz w:val="24"/>
                <w:szCs w:val="24"/>
                <w:lang w:val="en-US" w:eastAsia="zh-CN" w:bidi="ar"/>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rPr>
                <w:rFonts w:hint="default" w:ascii="宋体" w:hAnsi="宋体" w:cs="宋体"/>
                <w:bCs/>
                <w:vertAlign w:val="baseline"/>
                <w:lang w:val="en-US" w:eastAsia="zh-CN"/>
              </w:rPr>
            </w:pPr>
            <w:r>
              <w:rPr>
                <w:rFonts w:hint="eastAsia" w:eastAsia="宋体"/>
                <w:lang w:val="en-US" w:eastAsia="zh-CN"/>
              </w:rPr>
              <w:t>设备及验收备案费用</w:t>
            </w:r>
            <w:r>
              <w:rPr>
                <w:rFonts w:hint="eastAsia"/>
                <w:lang w:val="en-US" w:eastAsia="zh-CN"/>
              </w:rPr>
              <w:t>，75分</w:t>
            </w:r>
          </w:p>
        </w:tc>
        <w:tc>
          <w:tcPr>
            <w:tcW w:w="6166" w:type="dxa"/>
          </w:tcPr>
          <w:p>
            <w:pPr>
              <w:rPr>
                <w:rFonts w:hint="default" w:ascii="宋体" w:hAnsi="宋体" w:cs="宋体"/>
                <w:bCs/>
                <w:vertAlign w:val="baseline"/>
                <w:lang w:val="en-US" w:eastAsia="zh-CN"/>
              </w:rPr>
            </w:pPr>
            <w:r>
              <w:rPr>
                <w:rFonts w:hint="default" w:ascii="宋体" w:hAnsi="宋体" w:eastAsia="宋体" w:cs="楷体"/>
                <w:kern w:val="0"/>
                <w:szCs w:val="21"/>
                <w:lang w:val="en-US" w:eastAsia="zh-CN"/>
              </w:rPr>
              <w:t>以本</w:t>
            </w:r>
            <w:r>
              <w:rPr>
                <w:rFonts w:hint="eastAsia" w:ascii="宋体" w:hAnsi="宋体" w:cs="楷体"/>
                <w:kern w:val="0"/>
                <w:szCs w:val="21"/>
                <w:lang w:val="en-US" w:eastAsia="zh-CN"/>
              </w:rPr>
              <w:t>评分项</w:t>
            </w:r>
            <w:r>
              <w:rPr>
                <w:rFonts w:hint="default" w:ascii="宋体" w:hAnsi="宋体" w:eastAsia="宋体" w:cs="楷体"/>
                <w:kern w:val="0"/>
                <w:szCs w:val="21"/>
                <w:lang w:val="en-US" w:eastAsia="zh-CN"/>
              </w:rPr>
              <w:t>有效的最低报价为基准价，基准价为满分</w:t>
            </w:r>
            <w:r>
              <w:rPr>
                <w:rFonts w:hint="eastAsia" w:ascii="宋体" w:hAnsi="宋体" w:cs="楷体"/>
                <w:kern w:val="0"/>
                <w:szCs w:val="21"/>
                <w:lang w:val="en-US" w:eastAsia="zh-CN"/>
              </w:rPr>
              <w:t>75</w:t>
            </w:r>
            <w:r>
              <w:rPr>
                <w:rFonts w:hint="default" w:ascii="宋体" w:hAnsi="宋体" w:eastAsia="宋体" w:cs="楷体"/>
                <w:kern w:val="0"/>
                <w:szCs w:val="21"/>
                <w:lang w:val="en-US" w:eastAsia="zh-CN"/>
              </w:rPr>
              <w:t>分，其他投标报价得分=（基准价/投标报价）×</w:t>
            </w:r>
            <w:r>
              <w:rPr>
                <w:rFonts w:hint="eastAsia" w:ascii="宋体" w:hAnsi="宋体" w:cs="楷体"/>
                <w:kern w:val="0"/>
                <w:szCs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rPr>
                <w:rFonts w:hint="default" w:ascii="宋体" w:hAnsi="宋体" w:cs="宋体"/>
                <w:bCs/>
                <w:vertAlign w:val="baseline"/>
                <w:lang w:val="en-US" w:eastAsia="zh-CN"/>
              </w:rPr>
            </w:pPr>
            <w:r>
              <w:rPr>
                <w:rFonts w:hint="eastAsia"/>
                <w:lang w:val="en-US" w:eastAsia="zh-CN"/>
              </w:rPr>
              <w:t>5个月</w:t>
            </w:r>
            <w:r>
              <w:rPr>
                <w:rFonts w:hint="eastAsia" w:eastAsia="宋体"/>
                <w:lang w:val="en-US" w:eastAsia="zh-CN"/>
              </w:rPr>
              <w:t>设备运维费用</w:t>
            </w:r>
            <w:r>
              <w:rPr>
                <w:rFonts w:hint="eastAsia"/>
                <w:lang w:val="en-US" w:eastAsia="zh-CN"/>
              </w:rPr>
              <w:t>，25分</w:t>
            </w:r>
          </w:p>
        </w:tc>
        <w:tc>
          <w:tcPr>
            <w:tcW w:w="6166" w:type="dxa"/>
          </w:tcPr>
          <w:p>
            <w:pPr>
              <w:rPr>
                <w:rFonts w:hint="default" w:ascii="宋体" w:hAnsi="宋体" w:cs="宋体"/>
                <w:bCs/>
                <w:vertAlign w:val="baseline"/>
                <w:lang w:val="en-US" w:eastAsia="zh-CN"/>
              </w:rPr>
            </w:pPr>
            <w:r>
              <w:rPr>
                <w:rFonts w:hint="default" w:ascii="宋体" w:hAnsi="宋体" w:eastAsia="宋体" w:cs="楷体"/>
                <w:kern w:val="0"/>
                <w:szCs w:val="21"/>
                <w:lang w:val="en-US" w:eastAsia="zh-CN"/>
              </w:rPr>
              <w:t>以本本</w:t>
            </w:r>
            <w:r>
              <w:rPr>
                <w:rFonts w:hint="eastAsia" w:ascii="宋体" w:hAnsi="宋体" w:cs="楷体"/>
                <w:kern w:val="0"/>
                <w:szCs w:val="21"/>
                <w:lang w:val="en-US" w:eastAsia="zh-CN"/>
              </w:rPr>
              <w:t>评分项有效的</w:t>
            </w:r>
            <w:r>
              <w:rPr>
                <w:rFonts w:hint="default" w:ascii="宋体" w:hAnsi="宋体" w:eastAsia="宋体" w:cs="楷体"/>
                <w:kern w:val="0"/>
                <w:szCs w:val="21"/>
                <w:lang w:val="en-US" w:eastAsia="zh-CN"/>
              </w:rPr>
              <w:t>最低报价为基准价，基准价为满分</w:t>
            </w:r>
            <w:r>
              <w:rPr>
                <w:rFonts w:hint="eastAsia" w:ascii="宋体" w:hAnsi="宋体" w:cs="楷体"/>
                <w:kern w:val="0"/>
                <w:szCs w:val="21"/>
                <w:lang w:val="en-US" w:eastAsia="zh-CN"/>
              </w:rPr>
              <w:t>25</w:t>
            </w:r>
            <w:r>
              <w:rPr>
                <w:rFonts w:hint="default" w:ascii="宋体" w:hAnsi="宋体" w:eastAsia="宋体" w:cs="楷体"/>
                <w:kern w:val="0"/>
                <w:szCs w:val="21"/>
                <w:lang w:val="en-US" w:eastAsia="zh-CN"/>
              </w:rPr>
              <w:t>分，其他投标报价得分=（基准价/投标报价）×</w:t>
            </w:r>
            <w:r>
              <w:rPr>
                <w:rFonts w:hint="eastAsia" w:ascii="宋体" w:hAnsi="宋体" w:cs="楷体"/>
                <w:kern w:val="0"/>
                <w:szCs w:val="21"/>
                <w:lang w:val="en-US" w:eastAsia="zh-CN"/>
              </w:rPr>
              <w:t>25</w:t>
            </w:r>
          </w:p>
        </w:tc>
      </w:tr>
    </w:tbl>
    <w:p>
      <w:pPr>
        <w:rPr>
          <w:rFonts w:hint="default" w:ascii="宋体" w:hAnsi="宋体" w:cs="宋体"/>
          <w:bCs/>
          <w:lang w:val="en-US" w:eastAsia="zh-CN"/>
        </w:rPr>
      </w:pPr>
    </w:p>
    <w:p>
      <w:pPr>
        <w:pStyle w:val="5"/>
        <w:numPr>
          <w:ilvl w:val="3"/>
          <w:numId w:val="0"/>
        </w:numPr>
        <w:jc w:val="left"/>
      </w:pPr>
      <w:r>
        <w:rPr>
          <w:rFonts w:hint="eastAsia"/>
          <w:lang w:eastAsia="zh-CN"/>
        </w:rPr>
        <w:t>十</w:t>
      </w:r>
      <w:r>
        <w:rPr>
          <w:rFonts w:hint="eastAsia"/>
        </w:rPr>
        <w:t>、投标人报名时提交材料</w:t>
      </w:r>
    </w:p>
    <w:p>
      <w:pPr>
        <w:rPr>
          <w:rFonts w:hint="eastAsia" w:ascii="宋体" w:hAnsi="宋体" w:cs="宋体"/>
          <w:bCs/>
        </w:rPr>
      </w:pPr>
      <w:r>
        <w:rPr>
          <w:rFonts w:hint="eastAsia" w:ascii="宋体" w:hAnsi="宋体" w:cs="宋体"/>
          <w:bCs/>
          <w:lang w:val="en-US" w:eastAsia="zh-CN"/>
        </w:rPr>
        <w:t>10</w:t>
      </w:r>
      <w:r>
        <w:rPr>
          <w:rFonts w:hint="eastAsia" w:ascii="宋体" w:hAnsi="宋体" w:cs="宋体"/>
          <w:bCs/>
        </w:rPr>
        <w:t>.1</w:t>
      </w:r>
      <w:r>
        <w:rPr>
          <w:rFonts w:hint="eastAsia" w:ascii="宋体" w:hAnsi="宋体" w:cs="宋体"/>
          <w:bCs/>
          <w:lang w:val="en-US" w:eastAsia="zh-CN"/>
        </w:rPr>
        <w:t xml:space="preserve"> </w:t>
      </w:r>
      <w:r>
        <w:rPr>
          <w:rFonts w:hint="eastAsia" w:ascii="宋体" w:hAnsi="宋体" w:cs="宋体"/>
          <w:bCs/>
        </w:rPr>
        <w:t>营业执照复印件（复印件盖公章）；</w:t>
      </w:r>
    </w:p>
    <w:p>
      <w:pPr>
        <w:rPr>
          <w:rFonts w:hint="eastAsia" w:ascii="宋体" w:hAnsi="宋体" w:cs="宋体"/>
          <w:bCs/>
        </w:rPr>
      </w:pPr>
      <w:r>
        <w:rPr>
          <w:rFonts w:hint="eastAsia" w:ascii="宋体" w:hAnsi="宋体" w:cs="宋体"/>
          <w:bCs/>
          <w:lang w:val="en-US" w:eastAsia="zh-CN"/>
        </w:rPr>
        <w:t>10</w:t>
      </w:r>
      <w:r>
        <w:rPr>
          <w:rFonts w:hint="eastAsia" w:ascii="宋体" w:hAnsi="宋体" w:cs="宋体"/>
          <w:bCs/>
        </w:rPr>
        <w:t>.2</w:t>
      </w:r>
      <w:r>
        <w:rPr>
          <w:rFonts w:hint="eastAsia" w:ascii="宋体" w:hAnsi="宋体" w:cs="宋体"/>
          <w:bCs/>
          <w:lang w:val="en-US" w:eastAsia="zh-CN"/>
        </w:rPr>
        <w:t xml:space="preserve"> </w:t>
      </w:r>
      <w:r>
        <w:rPr>
          <w:rFonts w:hint="eastAsia" w:ascii="宋体" w:hAnsi="宋体" w:cs="宋体"/>
          <w:bCs/>
        </w:rPr>
        <w:t>法人授权委托书及被授权人身份证复印件，法人参加报名的提供法人身份证复印件；</w:t>
      </w:r>
    </w:p>
    <w:p>
      <w:pPr>
        <w:rPr>
          <w:rFonts w:hint="eastAsia" w:ascii="宋体" w:hAnsi="宋体" w:cs="宋体"/>
          <w:bCs/>
        </w:rPr>
      </w:pPr>
    </w:p>
    <w:p>
      <w:pP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br w:type="page"/>
      </w:r>
    </w:p>
    <w:p>
      <w:pPr>
        <w:spacing w:line="360" w:lineRule="auto"/>
        <w:jc w:val="both"/>
        <w:rPr>
          <w:rFonts w:hint="default"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附件1</w:t>
      </w:r>
    </w:p>
    <w:p>
      <w:pPr>
        <w:spacing w:line="360" w:lineRule="auto"/>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现场勘察确认函</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rPr>
      </w:pP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安装</w:t>
      </w:r>
      <w:r>
        <w:rPr>
          <w:rFonts w:hint="eastAsia" w:ascii="微软雅黑" w:hAnsi="微软雅黑" w:eastAsia="微软雅黑" w:cs="微软雅黑"/>
          <w:color w:val="auto"/>
          <w:sz w:val="24"/>
          <w:szCs w:val="24"/>
          <w:highlight w:val="none"/>
          <w:lang w:val="en-US" w:eastAsia="zh-CN"/>
        </w:rPr>
        <w:t>维保</w:t>
      </w:r>
      <w:r>
        <w:rPr>
          <w:rFonts w:hint="eastAsia" w:ascii="微软雅黑" w:hAnsi="微软雅黑" w:eastAsia="微软雅黑" w:cs="微软雅黑"/>
          <w:color w:val="auto"/>
          <w:sz w:val="24"/>
          <w:szCs w:val="24"/>
          <w:highlight w:val="none"/>
        </w:rPr>
        <w:t>现场、</w:t>
      </w:r>
      <w:r>
        <w:rPr>
          <w:rFonts w:hint="eastAsia" w:ascii="微软雅黑" w:hAnsi="微软雅黑" w:eastAsia="微软雅黑" w:cs="微软雅黑"/>
          <w:color w:val="auto"/>
          <w:sz w:val="24"/>
          <w:szCs w:val="24"/>
          <w:highlight w:val="none"/>
          <w:lang w:val="en-US" w:eastAsia="zh-CN"/>
        </w:rPr>
        <w:t>现场周围交通道路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pPr>
        <w:pStyle w:val="19"/>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                             采购单位</w:t>
      </w:r>
      <w:r>
        <w:rPr>
          <w:rFonts w:hint="eastAsia" w:ascii="微软雅黑" w:hAnsi="微软雅黑" w:eastAsia="微软雅黑" w:cs="微软雅黑"/>
          <w:bCs/>
          <w:color w:val="auto"/>
          <w:kern w:val="2"/>
          <w:sz w:val="24"/>
          <w:szCs w:val="24"/>
          <w:highlight w:val="none"/>
          <w:lang w:val="en-US" w:eastAsia="zh-CN" w:bidi="ar-SA"/>
        </w:rPr>
        <w:t>现场勘察联系人</w:t>
      </w:r>
      <w:r>
        <w:rPr>
          <w:rFonts w:hint="eastAsia" w:ascii="微软雅黑" w:hAnsi="微软雅黑" w:eastAsia="微软雅黑" w:cs="微软雅黑"/>
          <w:color w:val="auto"/>
          <w:sz w:val="24"/>
          <w:szCs w:val="24"/>
          <w:highlight w:val="none"/>
        </w:rPr>
        <w:t>（签字）</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年      月     日</w:t>
      </w:r>
    </w:p>
    <w:p>
      <w:pPr>
        <w:pStyle w:val="25"/>
        <w:ind w:left="0" w:leftChars="0" w:firstLine="0" w:firstLineChars="0"/>
        <w:rPr>
          <w:rFonts w:hint="eastAsia" w:ascii="微软雅黑" w:hAnsi="微软雅黑" w:eastAsia="微软雅黑" w:cs="微软雅黑"/>
          <w:b w:val="0"/>
          <w:bCs w:val="0"/>
          <w:color w:val="auto"/>
          <w:sz w:val="24"/>
          <w:szCs w:val="24"/>
          <w:u w:val="none"/>
          <w:lang w:val="en-US" w:eastAsia="zh-CN"/>
        </w:rPr>
      </w:pPr>
    </w:p>
    <w:p>
      <w:pPr>
        <w:rPr>
          <w:rFonts w:hint="eastAsia" w:ascii="宋体" w:hAnsi="宋体" w:cs="宋体"/>
          <w:bCs/>
          <w:lang w:eastAsia="zh-CN"/>
        </w:rPr>
      </w:pPr>
      <w:r>
        <w:rPr>
          <w:rFonts w:hint="eastAsia" w:ascii="宋体" w:hAnsi="宋体" w:cs="宋体"/>
          <w:bCs/>
          <w:lang w:eastAsia="zh-CN"/>
        </w:rPr>
        <w:br w:type="page"/>
      </w:r>
    </w:p>
    <w:p>
      <w:pPr>
        <w:rPr>
          <w:rFonts w:hint="eastAsia" w:ascii="宋体" w:hAnsi="宋体" w:cs="宋体"/>
          <w:bCs/>
          <w:lang w:val="en-US" w:eastAsia="zh-CN"/>
        </w:rPr>
      </w:pPr>
      <w:r>
        <w:rPr>
          <w:rFonts w:hint="eastAsia" w:ascii="宋体" w:hAnsi="宋体" w:cs="宋体"/>
          <w:bCs/>
          <w:lang w:eastAsia="zh-CN"/>
        </w:rPr>
        <w:t>附件</w:t>
      </w:r>
      <w:r>
        <w:rPr>
          <w:rFonts w:hint="eastAsia" w:ascii="宋体" w:hAnsi="宋体" w:cs="宋体"/>
          <w:bCs/>
          <w:lang w:val="en-US" w:eastAsia="zh-CN"/>
        </w:rPr>
        <w:t>2：</w:t>
      </w:r>
    </w:p>
    <w:p>
      <w:pPr>
        <w:jc w:val="center"/>
        <w:rPr>
          <w:rFonts w:hint="eastAsia" w:ascii="宋体" w:hAnsi="宋体" w:eastAsia="宋体" w:cs="宋体"/>
          <w:b/>
          <w:bCs/>
          <w:lang w:eastAsia="zh-CN"/>
        </w:rPr>
      </w:pPr>
      <w:r>
        <w:rPr>
          <w:rFonts w:hint="eastAsia" w:eastAsia="宋体"/>
          <w:b/>
          <w:bCs/>
          <w:lang w:val="en-US" w:eastAsia="zh-CN"/>
        </w:rPr>
        <w:t>运维考核表</w:t>
      </w:r>
    </w:p>
    <w:tbl>
      <w:tblPr>
        <w:tblStyle w:val="20"/>
        <w:tblpPr w:leftFromText="180" w:rightFromText="180" w:vertAnchor="text" w:horzAnchor="margin" w:tblpXSpec="center" w:tblpY="263"/>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583"/>
        <w:gridCol w:w="1622"/>
        <w:gridCol w:w="630"/>
        <w:gridCol w:w="675"/>
        <w:gridCol w:w="78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3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rPr>
              <w:t>考核</w:t>
            </w:r>
            <w:r>
              <w:rPr>
                <w:rFonts w:hint="eastAsia" w:ascii="华文细黑" w:hAnsi="华文细黑" w:eastAsia="华文细黑" w:cs="华文细黑"/>
                <w:b/>
                <w:bCs/>
                <w:sz w:val="21"/>
                <w:szCs w:val="21"/>
                <w:lang w:val="en-US" w:eastAsia="zh-CN"/>
              </w:rPr>
              <w:t>标准</w:t>
            </w:r>
          </w:p>
        </w:tc>
        <w:tc>
          <w:tcPr>
            <w:tcW w:w="6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7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Merge w:val="restart"/>
            <w:tcBorders>
              <w:tl2br w:val="nil"/>
              <w:tr2bl w:val="nil"/>
            </w:tcBorders>
            <w:noWrap w:val="0"/>
            <w:vAlign w:val="center"/>
          </w:tcPr>
          <w:p>
            <w:pPr>
              <w:spacing w:line="300" w:lineRule="auto"/>
              <w:rPr>
                <w:rFonts w:hint="eastAsia" w:ascii="华文细黑" w:hAnsi="华文细黑" w:eastAsia="华文细黑" w:cs="华文细黑"/>
                <w:b/>
                <w:bCs/>
                <w:sz w:val="18"/>
                <w:szCs w:val="18"/>
                <w:lang w:val="en-US" w:eastAsia="zh-CN"/>
              </w:rPr>
            </w:pPr>
            <w:r>
              <w:rPr>
                <w:rFonts w:hint="eastAsia" w:ascii="华文细黑" w:hAnsi="华文细黑" w:eastAsia="华文细黑" w:cs="华文细黑"/>
                <w:b/>
                <w:bCs/>
                <w:sz w:val="18"/>
                <w:szCs w:val="18"/>
                <w:lang w:val="en-US" w:eastAsia="zh-CN"/>
              </w:rPr>
              <w:t>服务规范</w:t>
            </w:r>
          </w:p>
          <w:p>
            <w:pPr>
              <w:spacing w:line="300" w:lineRule="auto"/>
              <w:rPr>
                <w:rFonts w:hint="eastAsia" w:ascii="华文细黑" w:hAnsi="华文细黑" w:eastAsia="华文细黑" w:cs="华文细黑"/>
                <w:b/>
                <w:bCs/>
                <w:sz w:val="15"/>
                <w:szCs w:val="15"/>
                <w:lang w:val="en-US" w:eastAsia="zh-CN"/>
              </w:rPr>
            </w:pPr>
            <w:r>
              <w:rPr>
                <w:rFonts w:hint="eastAsia" w:ascii="华文细黑" w:hAnsi="华文细黑" w:eastAsia="华文细黑" w:cs="华文细黑"/>
                <w:b/>
                <w:bCs/>
                <w:sz w:val="18"/>
                <w:szCs w:val="18"/>
                <w:lang w:val="en-US" w:eastAsia="zh-CN"/>
              </w:rPr>
              <w:t>（40）</w:t>
            </w:r>
          </w:p>
        </w:tc>
        <w:tc>
          <w:tcPr>
            <w:tcW w:w="358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position w:val="2"/>
                <w:sz w:val="18"/>
                <w:szCs w:val="18"/>
                <w:u w:val="none" w:color="FFFFFF"/>
                <w:lang w:eastAsia="zh-CN"/>
              </w:rPr>
            </w:pPr>
            <w:r>
              <w:rPr>
                <w:rFonts w:hint="eastAsia" w:ascii="宋体" w:hAnsi="宋体" w:eastAsia="宋体" w:cs="宋体"/>
                <w:color w:val="000000"/>
                <w:position w:val="2"/>
                <w:sz w:val="18"/>
                <w:szCs w:val="18"/>
                <w:u w:val="none" w:color="FFFFFF"/>
              </w:rPr>
              <w:t>严格执行国家</w:t>
            </w:r>
            <w:r>
              <w:rPr>
                <w:rFonts w:hint="eastAsia" w:ascii="宋体" w:hAnsi="宋体" w:eastAsia="宋体" w:cs="宋体"/>
                <w:color w:val="000000"/>
                <w:position w:val="2"/>
                <w:sz w:val="18"/>
                <w:szCs w:val="18"/>
                <w:u w:val="none" w:color="FFFFFF"/>
                <w:lang w:eastAsia="zh-CN"/>
              </w:rPr>
              <w:t>及江苏省环保技术</w:t>
            </w:r>
            <w:r>
              <w:rPr>
                <w:rFonts w:hint="eastAsia" w:ascii="宋体" w:hAnsi="宋体" w:eastAsia="宋体" w:cs="宋体"/>
                <w:color w:val="000000"/>
                <w:position w:val="2"/>
                <w:sz w:val="18"/>
                <w:szCs w:val="18"/>
                <w:u w:val="none" w:color="FFFFFF"/>
                <w:lang w:val="en-US" w:eastAsia="zh-CN"/>
              </w:rPr>
              <w:t>规范。</w:t>
            </w:r>
          </w:p>
        </w:tc>
        <w:tc>
          <w:tcPr>
            <w:tcW w:w="1622" w:type="dxa"/>
            <w:tcBorders>
              <w:tl2br w:val="nil"/>
              <w:tr2bl w:val="nil"/>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一次不符扣5分</w:t>
            </w:r>
          </w:p>
        </w:tc>
        <w:tc>
          <w:tcPr>
            <w:tcW w:w="630"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sz w:val="18"/>
                <w:szCs w:val="18"/>
                <w:lang w:val="en-US" w:eastAsia="zh-CN"/>
              </w:rPr>
            </w:pPr>
            <w:r>
              <w:rPr>
                <w:rFonts w:hint="eastAsia" w:ascii="华文细黑" w:hAnsi="华文细黑" w:eastAsia="华文细黑" w:cs="华文细黑"/>
                <w:b/>
                <w:bCs/>
                <w:color w:val="000000"/>
                <w:sz w:val="18"/>
                <w:szCs w:val="18"/>
                <w:lang w:val="en-US" w:eastAsia="zh-CN"/>
              </w:rPr>
              <w:t>10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lang w:val="en-US" w:eastAsia="zh-CN"/>
              </w:rPr>
            </w:pPr>
          </w:p>
        </w:tc>
        <w:tc>
          <w:tcPr>
            <w:tcW w:w="358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lang w:eastAsia="zh-CN"/>
              </w:rPr>
            </w:pPr>
            <w:r>
              <w:rPr>
                <w:rFonts w:hint="eastAsia" w:ascii="宋体" w:hAnsi="宋体" w:eastAsia="宋体" w:cs="宋体"/>
                <w:color w:val="000000"/>
                <w:position w:val="2"/>
                <w:sz w:val="18"/>
                <w:szCs w:val="18"/>
                <w:u w:val="none" w:color="FFFFFF"/>
                <w:lang w:eastAsia="zh-CN"/>
              </w:rPr>
              <w:t>运维人员个人防护到位。</w:t>
            </w:r>
          </w:p>
        </w:tc>
        <w:tc>
          <w:tcPr>
            <w:tcW w:w="1622" w:type="dxa"/>
            <w:tcBorders>
              <w:tl2br w:val="nil"/>
              <w:tr2bl w:val="nil"/>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一次不符扣</w:t>
            </w:r>
            <w:r>
              <w:rPr>
                <w:rFonts w:hint="eastAsia" w:ascii="宋体" w:hAnsi="宋体" w:cs="宋体"/>
                <w:color w:val="000000"/>
                <w:sz w:val="18"/>
                <w:szCs w:val="18"/>
                <w:lang w:val="en-US" w:eastAsia="zh-CN"/>
              </w:rPr>
              <w:t>2</w:t>
            </w:r>
            <w:r>
              <w:rPr>
                <w:rFonts w:hint="eastAsia" w:ascii="宋体" w:hAnsi="宋体" w:eastAsia="宋体" w:cs="宋体"/>
                <w:color w:val="000000"/>
                <w:sz w:val="18"/>
                <w:szCs w:val="18"/>
                <w:lang w:val="en-US" w:eastAsia="zh-CN"/>
              </w:rPr>
              <w:t>分</w:t>
            </w:r>
          </w:p>
        </w:tc>
        <w:tc>
          <w:tcPr>
            <w:tcW w:w="630"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sz w:val="18"/>
                <w:szCs w:val="18"/>
                <w:lang w:val="en-US" w:eastAsia="zh-CN"/>
              </w:rPr>
            </w:pPr>
            <w:r>
              <w:rPr>
                <w:rFonts w:hint="eastAsia" w:ascii="华文细黑" w:hAnsi="华文细黑" w:eastAsia="华文细黑" w:cs="华文细黑"/>
                <w:b/>
                <w:bCs/>
                <w:color w:val="000000"/>
                <w:sz w:val="18"/>
                <w:szCs w:val="18"/>
                <w:lang w:val="en-US" w:eastAsia="zh-CN"/>
              </w:rPr>
              <w:t>10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3" w:type="dxa"/>
            <w:tcBorders>
              <w:top w:val="single" w:color="auto" w:sz="2"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维护院方利益，严禁</w:t>
            </w:r>
            <w:r>
              <w:rPr>
                <w:rFonts w:hint="eastAsia" w:ascii="宋体" w:hAnsi="宋体" w:eastAsia="宋体" w:cs="宋体"/>
                <w:color w:val="000000"/>
                <w:sz w:val="18"/>
                <w:szCs w:val="18"/>
                <w:lang w:val="en-US"/>
              </w:rPr>
              <w:t>私自传播</w:t>
            </w:r>
            <w:r>
              <w:rPr>
                <w:rFonts w:hint="eastAsia" w:ascii="宋体" w:hAnsi="宋体" w:eastAsia="宋体" w:cs="宋体"/>
                <w:color w:val="000000"/>
                <w:sz w:val="18"/>
                <w:szCs w:val="18"/>
                <w:lang w:val="en-US" w:eastAsia="zh-CN"/>
              </w:rPr>
              <w:t>院方相关资料或数据。</w:t>
            </w:r>
          </w:p>
        </w:tc>
        <w:tc>
          <w:tcPr>
            <w:tcW w:w="1622" w:type="dxa"/>
            <w:tcBorders>
              <w:tl2br w:val="nil"/>
              <w:tr2bl w:val="nil"/>
            </w:tcBorders>
            <w:noWrap w:val="0"/>
            <w:vAlign w:val="center"/>
          </w:tcPr>
          <w:p>
            <w:pP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一次不符扣5分</w:t>
            </w:r>
          </w:p>
        </w:tc>
        <w:tc>
          <w:tcPr>
            <w:tcW w:w="630"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sz w:val="18"/>
                <w:szCs w:val="18"/>
                <w:lang w:val="en-US" w:eastAsia="zh-CN"/>
              </w:rPr>
            </w:pPr>
            <w:r>
              <w:rPr>
                <w:rFonts w:hint="eastAsia" w:ascii="华文细黑" w:hAnsi="华文细黑" w:eastAsia="华文细黑" w:cs="华文细黑"/>
                <w:b/>
                <w:bCs/>
                <w:color w:val="000000"/>
                <w:sz w:val="18"/>
                <w:szCs w:val="18"/>
                <w:lang w:val="en-US" w:eastAsia="zh-CN"/>
              </w:rPr>
              <w:t>10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lang w:val="en-US" w:eastAsia="zh-CN"/>
              </w:rPr>
            </w:pPr>
            <w:r>
              <w:rPr>
                <w:rFonts w:hint="eastAsia" w:ascii="宋体" w:hAnsi="宋体" w:eastAsia="宋体" w:cs="宋体"/>
                <w:kern w:val="0"/>
                <w:sz w:val="18"/>
              </w:rPr>
              <w:t>遵守医院各项规章制度</w:t>
            </w:r>
            <w:r>
              <w:rPr>
                <w:rFonts w:hint="eastAsia" w:ascii="宋体" w:hAnsi="宋体" w:eastAsia="宋体" w:cs="宋体"/>
                <w:kern w:val="0"/>
                <w:sz w:val="18"/>
                <w:lang w:eastAsia="zh-CN"/>
              </w:rPr>
              <w:t>，保持</w:t>
            </w:r>
            <w:r>
              <w:rPr>
                <w:rFonts w:hint="eastAsia" w:ascii="宋体" w:hAnsi="宋体" w:eastAsia="宋体" w:cs="宋体"/>
                <w:kern w:val="0"/>
                <w:sz w:val="18"/>
              </w:rPr>
              <w:t>工作区域环境卫生良好</w:t>
            </w:r>
            <w:r>
              <w:rPr>
                <w:rFonts w:hint="eastAsia" w:ascii="宋体" w:hAnsi="宋体" w:eastAsia="宋体" w:cs="宋体"/>
                <w:kern w:val="0"/>
                <w:sz w:val="18"/>
                <w:lang w:eastAsia="zh-CN"/>
              </w:rPr>
              <w:t>。</w:t>
            </w:r>
          </w:p>
        </w:tc>
        <w:tc>
          <w:tcPr>
            <w:tcW w:w="1622" w:type="dxa"/>
            <w:tcBorders>
              <w:tl2br w:val="nil"/>
              <w:tr2bl w:val="nil"/>
            </w:tcBorders>
            <w:noWrap w:val="0"/>
            <w:vAlign w:val="center"/>
          </w:tcPr>
          <w:p>
            <w:pP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一次不符扣5分</w:t>
            </w:r>
          </w:p>
        </w:tc>
        <w:tc>
          <w:tcPr>
            <w:tcW w:w="630"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sz w:val="18"/>
                <w:szCs w:val="18"/>
                <w:lang w:val="en-US" w:eastAsia="zh-CN"/>
              </w:rPr>
            </w:pPr>
            <w:r>
              <w:rPr>
                <w:rFonts w:hint="eastAsia" w:ascii="华文细黑" w:hAnsi="华文细黑" w:eastAsia="华文细黑" w:cs="华文细黑"/>
                <w:b/>
                <w:bCs/>
                <w:color w:val="000000"/>
                <w:sz w:val="18"/>
                <w:szCs w:val="18"/>
                <w:lang w:val="en-US" w:eastAsia="zh-CN"/>
              </w:rPr>
              <w:t>10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Merge w:val="restart"/>
            <w:tcBorders>
              <w:tl2br w:val="nil"/>
              <w:tr2bl w:val="nil"/>
            </w:tcBorders>
            <w:noWrap w:val="0"/>
            <w:vAlign w:val="center"/>
          </w:tcPr>
          <w:p>
            <w:pPr>
              <w:spacing w:line="300" w:lineRule="auto"/>
              <w:jc w:val="center"/>
              <w:rPr>
                <w:rFonts w:hint="eastAsia" w:ascii="华文细黑" w:hAnsi="华文细黑" w:eastAsia="华文细黑" w:cs="华文细黑"/>
                <w:b/>
                <w:bCs/>
                <w:sz w:val="18"/>
                <w:szCs w:val="18"/>
                <w:lang w:val="en-US"/>
              </w:rPr>
            </w:pPr>
            <w:r>
              <w:rPr>
                <w:rFonts w:hint="eastAsia" w:ascii="华文细黑" w:hAnsi="华文细黑" w:eastAsia="华文细黑" w:cs="华文细黑"/>
                <w:b/>
                <w:bCs/>
                <w:sz w:val="18"/>
                <w:szCs w:val="18"/>
                <w:lang w:val="en-US" w:eastAsia="zh-CN"/>
              </w:rPr>
              <w:t>服务</w:t>
            </w:r>
            <w:r>
              <w:rPr>
                <w:rFonts w:hint="eastAsia" w:ascii="华文细黑" w:hAnsi="华文细黑" w:eastAsia="华文细黑" w:cs="华文细黑"/>
                <w:b/>
                <w:bCs/>
                <w:sz w:val="18"/>
                <w:szCs w:val="18"/>
                <w:lang w:val="en-US"/>
              </w:rPr>
              <w:t>质量</w:t>
            </w:r>
          </w:p>
          <w:p>
            <w:pPr>
              <w:spacing w:line="300" w:lineRule="auto"/>
              <w:jc w:val="center"/>
              <w:rPr>
                <w:rFonts w:hint="eastAsia" w:ascii="华文细黑" w:hAnsi="华文细黑" w:eastAsia="华文细黑" w:cs="华文细黑"/>
                <w:b/>
                <w:bCs/>
                <w:sz w:val="18"/>
                <w:szCs w:val="18"/>
              </w:rPr>
            </w:pPr>
            <w:r>
              <w:rPr>
                <w:rFonts w:hint="eastAsia" w:ascii="华文细黑" w:hAnsi="华文细黑" w:eastAsia="华文细黑" w:cs="华文细黑"/>
                <w:b/>
                <w:bCs/>
                <w:sz w:val="18"/>
                <w:szCs w:val="18"/>
                <w:lang w:val="en-US"/>
              </w:rPr>
              <w:t>(</w:t>
            </w:r>
            <w:r>
              <w:rPr>
                <w:rFonts w:hint="eastAsia" w:ascii="华文细黑" w:hAnsi="华文细黑" w:eastAsia="华文细黑" w:cs="华文细黑"/>
                <w:b/>
                <w:bCs/>
                <w:sz w:val="18"/>
                <w:szCs w:val="18"/>
                <w:lang w:val="en-US" w:eastAsia="zh-CN"/>
              </w:rPr>
              <w:t>60</w:t>
            </w:r>
            <w:r>
              <w:rPr>
                <w:rFonts w:hint="eastAsia" w:ascii="华文细黑" w:hAnsi="华文细黑" w:eastAsia="华文细黑" w:cs="华文细黑"/>
                <w:b/>
                <w:bCs/>
                <w:sz w:val="18"/>
                <w:szCs w:val="18"/>
                <w:lang w:val="en-US"/>
              </w:rPr>
              <w:t>分)</w:t>
            </w:r>
          </w:p>
          <w:p>
            <w:pPr>
              <w:spacing w:line="300" w:lineRule="auto"/>
              <w:rPr>
                <w:rFonts w:hint="eastAsia" w:ascii="华文细黑" w:hAnsi="华文细黑" w:eastAsia="华文细黑" w:cs="华文细黑"/>
                <w:b/>
                <w:bCs/>
                <w:sz w:val="15"/>
                <w:szCs w:val="15"/>
              </w:rPr>
            </w:pPr>
          </w:p>
        </w:tc>
        <w:tc>
          <w:tcPr>
            <w:tcW w:w="35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确保设备正常可靠运行，数据传输准确、及时和稳定，符合环保部门要求。</w:t>
            </w:r>
          </w:p>
        </w:tc>
        <w:tc>
          <w:tcPr>
            <w:tcW w:w="1622" w:type="dxa"/>
            <w:tcBorders>
              <w:tl2br w:val="nil"/>
              <w:tr2bl w:val="nil"/>
            </w:tcBorders>
            <w:noWrap w:val="0"/>
            <w:vAlign w:val="center"/>
          </w:tcPr>
          <w:p>
            <w:pPr>
              <w:widowControl/>
              <w:spacing w:line="300" w:lineRule="auto"/>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一次不符扣5分</w:t>
            </w:r>
          </w:p>
        </w:tc>
        <w:tc>
          <w:tcPr>
            <w:tcW w:w="630"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sz w:val="18"/>
                <w:szCs w:val="18"/>
                <w:lang w:val="en-US" w:eastAsia="zh-CN"/>
              </w:rPr>
            </w:pPr>
            <w:r>
              <w:rPr>
                <w:rFonts w:hint="eastAsia" w:ascii="华文细黑" w:hAnsi="华文细黑" w:eastAsia="华文细黑" w:cs="华文细黑"/>
                <w:b/>
                <w:bCs/>
                <w:color w:val="000000"/>
                <w:sz w:val="18"/>
                <w:szCs w:val="18"/>
                <w:lang w:val="en-US" w:eastAsia="zh-CN"/>
              </w:rPr>
              <w:t>10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18"/>
                <w:szCs w:val="18"/>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18"/>
                <w:szCs w:val="18"/>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lang w:val="en-US" w:eastAsia="zh-CN"/>
              </w:rPr>
            </w:pPr>
            <w:r>
              <w:rPr>
                <w:rFonts w:hint="eastAsia" w:ascii="宋体" w:hAnsi="宋体" w:eastAsia="宋体" w:cs="宋体"/>
                <w:kern w:val="0"/>
                <w:sz w:val="18"/>
              </w:rPr>
              <w:t>故障、异常处理响应及时</w:t>
            </w:r>
            <w:r>
              <w:rPr>
                <w:rFonts w:hint="eastAsia" w:ascii="宋体" w:hAnsi="宋体" w:eastAsia="宋体" w:cs="宋体"/>
                <w:kern w:val="0"/>
                <w:sz w:val="18"/>
                <w:lang w:eastAsia="zh-CN"/>
              </w:rPr>
              <w:t>。</w:t>
            </w:r>
          </w:p>
        </w:tc>
        <w:tc>
          <w:tcPr>
            <w:tcW w:w="1622" w:type="dxa"/>
            <w:tcBorders>
              <w:tl2br w:val="nil"/>
              <w:tr2bl w:val="nil"/>
            </w:tcBorders>
            <w:noWrap w:val="0"/>
            <w:vAlign w:val="center"/>
          </w:tcPr>
          <w:p>
            <w:pPr>
              <w:widowControl/>
              <w:spacing w:line="300" w:lineRule="auto"/>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一次不符扣5分</w:t>
            </w:r>
          </w:p>
        </w:tc>
        <w:tc>
          <w:tcPr>
            <w:tcW w:w="630"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sz w:val="18"/>
                <w:szCs w:val="18"/>
                <w:lang w:val="en-US" w:eastAsia="zh-CN"/>
              </w:rPr>
            </w:pPr>
            <w:r>
              <w:rPr>
                <w:rFonts w:hint="eastAsia" w:ascii="华文细黑" w:hAnsi="华文细黑" w:eastAsia="华文细黑" w:cs="华文细黑"/>
                <w:b/>
                <w:bCs/>
                <w:color w:val="000000"/>
                <w:sz w:val="18"/>
                <w:szCs w:val="18"/>
                <w:lang w:val="en-US" w:eastAsia="zh-CN"/>
              </w:rPr>
              <w:t>10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18"/>
                <w:szCs w:val="18"/>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18"/>
                <w:szCs w:val="18"/>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专业水平强，能快速准确修复排除故障。</w:t>
            </w:r>
          </w:p>
        </w:tc>
        <w:tc>
          <w:tcPr>
            <w:tcW w:w="1622" w:type="dxa"/>
            <w:tcBorders>
              <w:tl2br w:val="nil"/>
              <w:tr2bl w:val="nil"/>
            </w:tcBorders>
            <w:noWrap w:val="0"/>
            <w:vAlign w:val="center"/>
          </w:tcPr>
          <w:p>
            <w:pPr>
              <w:widowControl/>
              <w:spacing w:line="300" w:lineRule="auto"/>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一次不符扣</w:t>
            </w:r>
            <w:r>
              <w:rPr>
                <w:rFonts w:hint="eastAsia" w:ascii="宋体" w:hAnsi="宋体" w:cs="宋体"/>
                <w:color w:val="000000"/>
                <w:sz w:val="18"/>
                <w:szCs w:val="18"/>
                <w:lang w:val="en-US" w:eastAsia="zh-CN"/>
              </w:rPr>
              <w:t>5</w:t>
            </w:r>
            <w:r>
              <w:rPr>
                <w:rFonts w:hint="eastAsia" w:ascii="宋体" w:hAnsi="宋体" w:eastAsia="宋体" w:cs="宋体"/>
                <w:color w:val="000000"/>
                <w:sz w:val="18"/>
                <w:szCs w:val="18"/>
                <w:lang w:val="en-US" w:eastAsia="zh-CN"/>
              </w:rPr>
              <w:t>分</w:t>
            </w:r>
          </w:p>
        </w:tc>
        <w:tc>
          <w:tcPr>
            <w:tcW w:w="630"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sz w:val="18"/>
                <w:szCs w:val="18"/>
                <w:lang w:val="en-US" w:eastAsia="zh-CN"/>
              </w:rPr>
            </w:pPr>
            <w:r>
              <w:rPr>
                <w:rFonts w:hint="eastAsia" w:ascii="华文细黑" w:hAnsi="华文细黑" w:eastAsia="华文细黑" w:cs="华文细黑"/>
                <w:b/>
                <w:bCs/>
                <w:color w:val="000000"/>
                <w:sz w:val="18"/>
                <w:szCs w:val="18"/>
                <w:lang w:val="en-US" w:eastAsia="zh-CN"/>
              </w:rPr>
              <w:t>10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18"/>
                <w:szCs w:val="18"/>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18"/>
                <w:szCs w:val="18"/>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lang w:val="en-US" w:eastAsia="zh-CN"/>
              </w:rPr>
            </w:pPr>
            <w:r>
              <w:rPr>
                <w:rFonts w:hint="eastAsia" w:ascii="宋体" w:hAnsi="宋体" w:eastAsia="宋体" w:cs="宋体"/>
                <w:kern w:val="0"/>
                <w:sz w:val="18"/>
                <w:lang w:eastAsia="zh-CN"/>
              </w:rPr>
              <w:t>相关</w:t>
            </w:r>
            <w:r>
              <w:rPr>
                <w:rFonts w:hint="eastAsia" w:ascii="宋体" w:hAnsi="宋体" w:eastAsia="宋体" w:cs="宋体"/>
                <w:kern w:val="0"/>
                <w:sz w:val="18"/>
              </w:rPr>
              <w:t>台账</w:t>
            </w:r>
            <w:r>
              <w:rPr>
                <w:rFonts w:hint="eastAsia" w:ascii="宋体" w:hAnsi="宋体" w:eastAsia="宋体" w:cs="宋体"/>
                <w:kern w:val="0"/>
                <w:sz w:val="18"/>
                <w:lang w:eastAsia="zh-CN"/>
              </w:rPr>
              <w:t>资料</w:t>
            </w:r>
            <w:r>
              <w:rPr>
                <w:rFonts w:hint="eastAsia" w:ascii="宋体" w:hAnsi="宋体" w:eastAsia="宋体" w:cs="宋体"/>
                <w:kern w:val="0"/>
                <w:sz w:val="18"/>
              </w:rPr>
              <w:t>完整</w:t>
            </w:r>
            <w:r>
              <w:rPr>
                <w:rFonts w:hint="eastAsia" w:ascii="宋体" w:hAnsi="宋体" w:eastAsia="宋体" w:cs="宋体"/>
                <w:kern w:val="0"/>
                <w:sz w:val="18"/>
                <w:lang w:eastAsia="zh-CN"/>
              </w:rPr>
              <w:t>。</w:t>
            </w:r>
          </w:p>
        </w:tc>
        <w:tc>
          <w:tcPr>
            <w:tcW w:w="1622" w:type="dxa"/>
            <w:tcBorders>
              <w:tl2br w:val="nil"/>
              <w:tr2bl w:val="nil"/>
            </w:tcBorders>
            <w:noWrap w:val="0"/>
            <w:vAlign w:val="center"/>
          </w:tcPr>
          <w:p>
            <w:pPr>
              <w:widowControl/>
              <w:spacing w:line="300" w:lineRule="auto"/>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一次不符扣</w:t>
            </w:r>
            <w:r>
              <w:rPr>
                <w:rFonts w:hint="eastAsia" w:ascii="宋体" w:hAnsi="宋体" w:cs="宋体"/>
                <w:color w:val="000000"/>
                <w:sz w:val="18"/>
                <w:szCs w:val="18"/>
                <w:lang w:val="en-US" w:eastAsia="zh-CN"/>
              </w:rPr>
              <w:t>2</w:t>
            </w:r>
            <w:r>
              <w:rPr>
                <w:rFonts w:hint="eastAsia" w:ascii="宋体" w:hAnsi="宋体" w:eastAsia="宋体" w:cs="宋体"/>
                <w:color w:val="000000"/>
                <w:sz w:val="18"/>
                <w:szCs w:val="18"/>
                <w:lang w:val="en-US" w:eastAsia="zh-CN"/>
              </w:rPr>
              <w:t>分</w:t>
            </w:r>
          </w:p>
        </w:tc>
        <w:tc>
          <w:tcPr>
            <w:tcW w:w="630"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sz w:val="18"/>
                <w:szCs w:val="18"/>
                <w:lang w:val="en-US" w:eastAsia="zh-CN"/>
              </w:rPr>
            </w:pPr>
            <w:r>
              <w:rPr>
                <w:rFonts w:hint="eastAsia" w:ascii="华文细黑" w:hAnsi="华文细黑" w:eastAsia="华文细黑" w:cs="华文细黑"/>
                <w:b/>
                <w:bCs/>
                <w:color w:val="000000"/>
                <w:sz w:val="18"/>
                <w:szCs w:val="18"/>
                <w:lang w:val="en-US" w:eastAsia="zh-CN"/>
              </w:rPr>
              <w:t>10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lang w:val="en-US" w:eastAsia="zh-CN"/>
              </w:rPr>
            </w:pPr>
            <w:r>
              <w:rPr>
                <w:rFonts w:hint="eastAsia" w:ascii="宋体" w:hAnsi="宋体" w:eastAsia="宋体" w:cs="宋体"/>
                <w:kern w:val="0"/>
                <w:sz w:val="18"/>
              </w:rPr>
              <w:t>设备定时检查、保养</w:t>
            </w:r>
            <w:r>
              <w:rPr>
                <w:rFonts w:hint="eastAsia" w:ascii="宋体" w:hAnsi="宋体" w:eastAsia="宋体" w:cs="宋体"/>
                <w:kern w:val="0"/>
                <w:sz w:val="18"/>
                <w:lang w:eastAsia="zh-CN"/>
              </w:rPr>
              <w:t>。</w:t>
            </w:r>
          </w:p>
        </w:tc>
        <w:tc>
          <w:tcPr>
            <w:tcW w:w="1622" w:type="dxa"/>
            <w:tcBorders>
              <w:tl2br w:val="nil"/>
              <w:tr2bl w:val="nil"/>
            </w:tcBorders>
            <w:noWrap w:val="0"/>
            <w:vAlign w:val="center"/>
          </w:tcPr>
          <w:p>
            <w:pPr>
              <w:widowControl/>
              <w:spacing w:line="300" w:lineRule="auto"/>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一次不符扣</w:t>
            </w:r>
            <w:r>
              <w:rPr>
                <w:rFonts w:hint="eastAsia" w:ascii="宋体" w:hAnsi="宋体" w:cs="宋体"/>
                <w:color w:val="000000"/>
                <w:sz w:val="18"/>
                <w:szCs w:val="18"/>
                <w:lang w:val="en-US" w:eastAsia="zh-CN"/>
              </w:rPr>
              <w:t>2</w:t>
            </w:r>
            <w:r>
              <w:rPr>
                <w:rFonts w:hint="eastAsia" w:ascii="宋体" w:hAnsi="宋体" w:eastAsia="宋体" w:cs="宋体"/>
                <w:color w:val="000000"/>
                <w:sz w:val="18"/>
                <w:szCs w:val="18"/>
                <w:lang w:val="en-US" w:eastAsia="zh-CN"/>
              </w:rPr>
              <w:t>分</w:t>
            </w:r>
          </w:p>
        </w:tc>
        <w:tc>
          <w:tcPr>
            <w:tcW w:w="630"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sz w:val="18"/>
                <w:szCs w:val="18"/>
                <w:lang w:val="en-US" w:eastAsia="zh-CN"/>
              </w:rPr>
            </w:pPr>
            <w:r>
              <w:rPr>
                <w:rFonts w:hint="eastAsia" w:ascii="华文细黑" w:hAnsi="华文细黑" w:eastAsia="华文细黑" w:cs="华文细黑"/>
                <w:b/>
                <w:bCs/>
                <w:color w:val="000000"/>
                <w:sz w:val="18"/>
                <w:szCs w:val="18"/>
                <w:lang w:val="en-US" w:eastAsia="zh-CN"/>
              </w:rPr>
              <w:t>10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vMerge w:val="continue"/>
            <w:tcBorders>
              <w:tl2br w:val="nil"/>
              <w:tr2bl w:val="nil"/>
            </w:tcBorders>
            <w:noWrap w:val="0"/>
            <w:vAlign w:val="center"/>
          </w:tcPr>
          <w:p>
            <w:pPr>
              <w:spacing w:line="300" w:lineRule="auto"/>
              <w:rPr>
                <w:rFonts w:hint="eastAsia" w:ascii="华文细黑" w:hAnsi="华文细黑" w:eastAsia="华文细黑" w:cs="华文细黑"/>
                <w:b/>
                <w:bCs/>
                <w:sz w:val="15"/>
                <w:szCs w:val="15"/>
              </w:rPr>
            </w:pPr>
          </w:p>
        </w:tc>
        <w:tc>
          <w:tcPr>
            <w:tcW w:w="35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18"/>
                <w:szCs w:val="18"/>
                <w:lang w:val="en-US" w:eastAsia="zh-CN"/>
              </w:rPr>
            </w:pPr>
            <w:r>
              <w:rPr>
                <w:rFonts w:hint="eastAsia" w:ascii="宋体" w:hAnsi="宋体" w:eastAsia="宋体" w:cs="宋体"/>
                <w:kern w:val="0"/>
                <w:sz w:val="18"/>
              </w:rPr>
              <w:t>配合完成院方其他合理安排</w:t>
            </w:r>
          </w:p>
        </w:tc>
        <w:tc>
          <w:tcPr>
            <w:tcW w:w="1622" w:type="dxa"/>
            <w:tcBorders>
              <w:tl2br w:val="nil"/>
              <w:tr2bl w:val="nil"/>
            </w:tcBorders>
            <w:noWrap w:val="0"/>
            <w:vAlign w:val="center"/>
          </w:tcPr>
          <w:p>
            <w:pPr>
              <w:widowControl/>
              <w:spacing w:line="300" w:lineRule="auto"/>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一次不符扣</w:t>
            </w:r>
            <w:r>
              <w:rPr>
                <w:rFonts w:hint="eastAsia" w:ascii="宋体" w:hAnsi="宋体" w:cs="宋体"/>
                <w:color w:val="000000"/>
                <w:sz w:val="18"/>
                <w:szCs w:val="18"/>
                <w:lang w:val="en-US" w:eastAsia="zh-CN"/>
              </w:rPr>
              <w:t>2</w:t>
            </w:r>
            <w:r>
              <w:rPr>
                <w:rFonts w:hint="eastAsia" w:ascii="宋体" w:hAnsi="宋体" w:eastAsia="宋体" w:cs="宋体"/>
                <w:color w:val="000000"/>
                <w:sz w:val="18"/>
                <w:szCs w:val="18"/>
                <w:lang w:val="en-US" w:eastAsia="zh-CN"/>
              </w:rPr>
              <w:t>分</w:t>
            </w:r>
          </w:p>
        </w:tc>
        <w:tc>
          <w:tcPr>
            <w:tcW w:w="630" w:type="dxa"/>
            <w:tcBorders>
              <w:tl2br w:val="nil"/>
              <w:tr2bl w:val="nil"/>
            </w:tcBorders>
            <w:noWrap w:val="0"/>
            <w:vAlign w:val="center"/>
          </w:tcPr>
          <w:p>
            <w:pPr>
              <w:spacing w:line="300" w:lineRule="auto"/>
              <w:jc w:val="center"/>
              <w:rPr>
                <w:rFonts w:hint="default" w:ascii="华文细黑" w:hAnsi="华文细黑" w:eastAsia="华文细黑" w:cs="华文细黑"/>
                <w:b/>
                <w:bCs/>
                <w:color w:val="000000"/>
                <w:sz w:val="18"/>
                <w:szCs w:val="18"/>
                <w:lang w:val="en-US" w:eastAsia="zh-CN"/>
              </w:rPr>
            </w:pPr>
            <w:r>
              <w:rPr>
                <w:rFonts w:hint="eastAsia" w:ascii="华文细黑" w:hAnsi="华文细黑" w:eastAsia="华文细黑" w:cs="华文细黑"/>
                <w:b/>
                <w:bCs/>
                <w:color w:val="000000"/>
                <w:sz w:val="18"/>
                <w:szCs w:val="18"/>
                <w:lang w:val="en-US" w:eastAsia="zh-CN"/>
              </w:rPr>
              <w:t>10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5" w:type="dxa"/>
            <w:gridSpan w:val="3"/>
            <w:tcBorders>
              <w:tl2br w:val="nil"/>
              <w:tr2bl w:val="nil"/>
            </w:tcBorders>
            <w:noWrap w:val="0"/>
            <w:vAlign w:val="center"/>
          </w:tcPr>
          <w:p>
            <w:pPr>
              <w:spacing w:line="300" w:lineRule="auto"/>
              <w:jc w:val="center"/>
              <w:rPr>
                <w:rFonts w:hint="eastAsia" w:ascii="华文细黑" w:hAnsi="华文细黑" w:eastAsia="华文细黑" w:cs="华文细黑"/>
                <w:b/>
                <w:bCs/>
                <w:color w:val="000000"/>
                <w:sz w:val="18"/>
                <w:szCs w:val="18"/>
                <w:lang w:val="en-US"/>
              </w:rPr>
            </w:pPr>
            <w:r>
              <w:rPr>
                <w:rFonts w:hint="eastAsia" w:ascii="华文细黑" w:hAnsi="华文细黑" w:eastAsia="华文细黑" w:cs="华文细黑"/>
                <w:b/>
                <w:bCs/>
                <w:color w:val="000000"/>
                <w:sz w:val="18"/>
                <w:szCs w:val="18"/>
              </w:rPr>
              <w:t>合计</w:t>
            </w:r>
          </w:p>
        </w:tc>
        <w:tc>
          <w:tcPr>
            <w:tcW w:w="630" w:type="dxa"/>
            <w:tcBorders>
              <w:tl2br w:val="nil"/>
              <w:tr2bl w:val="nil"/>
            </w:tcBorders>
            <w:noWrap w:val="0"/>
            <w:vAlign w:val="center"/>
          </w:tcPr>
          <w:p>
            <w:pPr>
              <w:widowControl/>
              <w:autoSpaceDE/>
              <w:autoSpaceDN/>
              <w:jc w:val="center"/>
              <w:rPr>
                <w:rFonts w:hint="eastAsia" w:ascii="华文细黑" w:hAnsi="华文细黑" w:eastAsia="华文细黑" w:cs="华文细黑"/>
                <w:b/>
                <w:bCs/>
                <w:color w:val="000000"/>
                <w:sz w:val="18"/>
                <w:szCs w:val="18"/>
                <w:lang w:val="en-US"/>
              </w:rPr>
            </w:pPr>
            <w:r>
              <w:rPr>
                <w:rFonts w:hint="eastAsia" w:ascii="华文细黑" w:hAnsi="华文细黑" w:eastAsia="华文细黑" w:cs="华文细黑"/>
                <w:b/>
                <w:bCs/>
                <w:color w:val="000000"/>
                <w:sz w:val="18"/>
                <w:szCs w:val="18"/>
                <w:lang w:val="en-US"/>
              </w:rPr>
              <w:t>100</w:t>
            </w: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780"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c>
          <w:tcPr>
            <w:tcW w:w="675" w:type="dxa"/>
            <w:tcBorders>
              <w:tl2br w:val="nil"/>
              <w:tr2bl w:val="nil"/>
            </w:tcBorders>
            <w:noWrap w:val="0"/>
            <w:vAlign w:val="center"/>
          </w:tcPr>
          <w:p>
            <w:pPr>
              <w:widowControl/>
              <w:spacing w:line="300" w:lineRule="auto"/>
              <w:rPr>
                <w:rFonts w:hint="eastAsia" w:ascii="华文细黑" w:hAnsi="华文细黑" w:eastAsia="华文细黑" w:cs="华文细黑"/>
                <w:color w:val="000000"/>
                <w:sz w:val="21"/>
                <w:szCs w:val="21"/>
              </w:rPr>
            </w:pPr>
          </w:p>
        </w:tc>
      </w:tr>
    </w:tbl>
    <w:p>
      <w:r>
        <w:rPr>
          <w:rFonts w:hint="eastAsia"/>
        </w:rPr>
        <w:br w:type="page"/>
      </w:r>
    </w:p>
    <w:p>
      <w:pPr>
        <w:pStyle w:val="5"/>
        <w:numPr>
          <w:ilvl w:val="3"/>
          <w:numId w:val="0"/>
        </w:numPr>
        <w:jc w:val="center"/>
        <w:rPr>
          <w:sz w:val="32"/>
          <w:szCs w:val="32"/>
        </w:rPr>
      </w:pPr>
      <w:r>
        <w:rPr>
          <w:rFonts w:hint="eastAsia"/>
          <w:sz w:val="32"/>
          <w:szCs w:val="32"/>
        </w:rPr>
        <w:t xml:space="preserve">第二部分 </w:t>
      </w:r>
      <w:r>
        <w:rPr>
          <w:rFonts w:hint="eastAsia"/>
          <w:sz w:val="32"/>
          <w:szCs w:val="32"/>
          <w:lang w:val="en-US" w:eastAsia="zh-CN"/>
        </w:rPr>
        <w:t>谈判</w:t>
      </w:r>
      <w:r>
        <w:rPr>
          <w:rFonts w:hint="eastAsia"/>
          <w:sz w:val="32"/>
          <w:szCs w:val="32"/>
        </w:rPr>
        <w:t>响应文件（格式如下）</w:t>
      </w:r>
    </w:p>
    <w:p>
      <w:pPr>
        <w:pStyle w:val="25"/>
        <w:rPr>
          <w:sz w:val="32"/>
          <w:szCs w:val="32"/>
        </w:rPr>
      </w:pPr>
    </w:p>
    <w:p>
      <w:pPr>
        <w:jc w:val="center"/>
        <w:rPr>
          <w:rFonts w:hint="eastAsia" w:eastAsia="宋体"/>
          <w:sz w:val="32"/>
          <w:szCs w:val="32"/>
          <w:lang w:eastAsia="zh-CN"/>
        </w:rPr>
      </w:pPr>
      <w:r>
        <w:rPr>
          <w:sz w:val="32"/>
          <w:szCs w:val="32"/>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sz w:val="32"/>
          <w:szCs w:val="32"/>
          <w:lang w:eastAsia="zh-CN"/>
        </w:rPr>
        <w:t>丹阳市人民医院氨氮在线设备安装、验收及运维项目</w:t>
      </w:r>
    </w:p>
    <w:p>
      <w:pPr>
        <w:snapToGrid w:val="0"/>
        <w:spacing w:line="396" w:lineRule="atLeast"/>
        <w:ind w:firstLine="1546"/>
        <w:jc w:val="center"/>
        <w:rPr>
          <w:rFonts w:ascii="微软雅黑" w:hAnsi="微软雅黑" w:eastAsia="微软雅黑" w:cs="微软雅黑"/>
          <w:sz w:val="32"/>
          <w:szCs w:val="32"/>
        </w:rPr>
      </w:pPr>
    </w:p>
    <w:p>
      <w:pPr>
        <w:snapToGrid w:val="0"/>
        <w:spacing w:line="396" w:lineRule="atLeast"/>
        <w:ind w:firstLine="4216"/>
        <w:jc w:val="center"/>
        <w:rPr>
          <w:rFonts w:ascii="微软雅黑" w:hAnsi="微软雅黑" w:eastAsia="微软雅黑" w:cs="微软雅黑"/>
          <w:sz w:val="32"/>
          <w:szCs w:val="32"/>
        </w:rPr>
      </w:pPr>
    </w:p>
    <w:p>
      <w:pPr>
        <w:pStyle w:val="25"/>
        <w:rPr>
          <w:rFonts w:ascii="微软雅黑" w:hAnsi="微软雅黑" w:eastAsia="微软雅黑" w:cs="微软雅黑"/>
          <w:sz w:val="32"/>
          <w:szCs w:val="32"/>
        </w:rPr>
      </w:pPr>
    </w:p>
    <w:p>
      <w:pPr>
        <w:pStyle w:val="25"/>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pacing w:val="40"/>
          <w:sz w:val="32"/>
          <w:szCs w:val="32"/>
        </w:rPr>
      </w:pPr>
      <w:r>
        <w:rPr>
          <w:rFonts w:hint="eastAsia" w:ascii="微软雅黑" w:hAnsi="微软雅黑" w:eastAsia="微软雅黑" w:cs="微软雅黑"/>
          <w:spacing w:val="40"/>
          <w:sz w:val="32"/>
          <w:szCs w:val="32"/>
        </w:rPr>
        <w:t>投 标 文 件</w:t>
      </w:r>
    </w:p>
    <w:p>
      <w:pPr>
        <w:snapToGrid w:val="0"/>
        <w:spacing w:line="396" w:lineRule="atLeast"/>
        <w:ind w:firstLine="4216"/>
        <w:rPr>
          <w:rFonts w:ascii="微软雅黑" w:hAnsi="微软雅黑" w:eastAsia="微软雅黑" w:cs="微软雅黑"/>
          <w:sz w:val="32"/>
          <w:szCs w:val="32"/>
        </w:rPr>
      </w:pPr>
    </w:p>
    <w:p>
      <w:pPr>
        <w:snapToGrid w:val="0"/>
        <w:spacing w:line="396" w:lineRule="atLeast"/>
        <w:ind w:firstLine="4216"/>
        <w:rPr>
          <w:rFonts w:ascii="微软雅黑" w:hAnsi="微软雅黑" w:eastAsia="微软雅黑" w:cs="微软雅黑"/>
          <w:sz w:val="32"/>
          <w:szCs w:val="32"/>
        </w:rPr>
      </w:pPr>
    </w:p>
    <w:p>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（招标编号：</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color w:val="0000FF"/>
          <w:sz w:val="32"/>
          <w:szCs w:val="32"/>
          <w:u w:val="single"/>
        </w:rPr>
        <w:t xml:space="preserve">  </w:t>
      </w:r>
      <w:r>
        <w:rPr>
          <w:rFonts w:hint="eastAsia" w:ascii="微软雅黑" w:hAnsi="微软雅黑" w:eastAsia="微软雅黑" w:cs="微软雅黑"/>
          <w:color w:val="0000FF"/>
          <w:sz w:val="32"/>
          <w:szCs w:val="32"/>
          <w:u w:val="single"/>
          <w:lang w:eastAsia="zh-CN"/>
        </w:rPr>
        <w:t>DRY-CG-2023037</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w:t>
      </w:r>
    </w:p>
    <w:p>
      <w:pPr>
        <w:snapToGrid w:val="0"/>
        <w:spacing w:line="396" w:lineRule="atLeast"/>
        <w:ind w:firstLine="1827"/>
        <w:rPr>
          <w:rFonts w:ascii="微软雅黑" w:hAnsi="微软雅黑" w:eastAsia="微软雅黑" w:cs="微软雅黑"/>
          <w:sz w:val="32"/>
          <w:szCs w:val="32"/>
        </w:rPr>
      </w:pPr>
    </w:p>
    <w:p>
      <w:pPr>
        <w:snapToGrid w:val="0"/>
        <w:spacing w:line="396" w:lineRule="atLeast"/>
        <w:ind w:firstLine="1827"/>
        <w:jc w:val="center"/>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投 标 人（盖章）：</w:t>
      </w:r>
    </w:p>
    <w:p>
      <w:pPr>
        <w:snapToGrid w:val="0"/>
        <w:spacing w:line="396" w:lineRule="atLeast"/>
        <w:ind w:firstLine="1827"/>
        <w:jc w:val="center"/>
        <w:rPr>
          <w:rFonts w:ascii="微软雅黑" w:hAnsi="微软雅黑" w:eastAsia="微软雅黑" w:cs="微软雅黑"/>
          <w:sz w:val="32"/>
          <w:szCs w:val="32"/>
        </w:rPr>
      </w:pPr>
    </w:p>
    <w:p>
      <w:pPr>
        <w:pStyle w:val="25"/>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日    期：</w:t>
      </w:r>
    </w:p>
    <w:p>
      <w:pPr>
        <w:snapToGrid w:val="0"/>
        <w:spacing w:line="396" w:lineRule="atLeast"/>
        <w:ind w:firstLine="1827"/>
        <w:jc w:val="center"/>
        <w:rPr>
          <w:rFonts w:ascii="宋体" w:hAnsi="宋体"/>
          <w:b/>
          <w:sz w:val="28"/>
          <w:szCs w:val="28"/>
        </w:rPr>
      </w:pPr>
    </w:p>
    <w:p>
      <w:pPr>
        <w:snapToGrid w:val="0"/>
        <w:spacing w:line="396" w:lineRule="atLeast"/>
        <w:ind w:firstLine="1827"/>
        <w:rPr>
          <w:rFonts w:ascii="宋体" w:hAnsi="宋体"/>
          <w:b/>
          <w:sz w:val="28"/>
          <w:szCs w:val="28"/>
        </w:rPr>
      </w:pPr>
    </w:p>
    <w:p>
      <w:pPr>
        <w:pStyle w:val="24"/>
        <w:ind w:firstLine="562"/>
        <w:rPr>
          <w:rFonts w:ascii="宋体" w:hAnsi="宋体"/>
          <w:b/>
          <w:sz w:val="28"/>
          <w:szCs w:val="28"/>
        </w:rPr>
      </w:pPr>
    </w:p>
    <w:p>
      <w:pPr>
        <w:pStyle w:val="2"/>
        <w:numPr>
          <w:ilvl w:val="0"/>
          <w:numId w:val="0"/>
        </w:numPr>
        <w:spacing w:before="120" w:after="120"/>
        <w:jc w:val="both"/>
        <w:rPr>
          <w:rFonts w:hint="default" w:cs="宋体"/>
          <w:sz w:val="32"/>
          <w:szCs w:val="32"/>
        </w:rPr>
      </w:pPr>
      <w:bookmarkStart w:id="0" w:name="_Toc9147"/>
    </w:p>
    <w:p/>
    <w:p>
      <w:pPr>
        <w:pStyle w:val="2"/>
        <w:numPr>
          <w:ilvl w:val="0"/>
          <w:numId w:val="0"/>
        </w:numPr>
        <w:spacing w:before="120" w:after="120"/>
        <w:jc w:val="both"/>
        <w:rPr>
          <w:rFonts w:hint="default" w:cs="宋体"/>
          <w:sz w:val="32"/>
          <w:szCs w:val="32"/>
        </w:rPr>
      </w:pPr>
    </w:p>
    <w:p>
      <w:pPr>
        <w:pStyle w:val="2"/>
        <w:numPr>
          <w:ilvl w:val="0"/>
          <w:numId w:val="0"/>
        </w:numPr>
        <w:spacing w:before="120" w:after="120"/>
        <w:jc w:val="center"/>
        <w:rPr>
          <w:rFonts w:cs="宋体"/>
          <w:sz w:val="32"/>
          <w:szCs w:val="32"/>
        </w:rPr>
      </w:pPr>
    </w:p>
    <w:p>
      <w:pPr>
        <w:rPr>
          <w:rFonts w:cs="宋体"/>
          <w:sz w:val="32"/>
          <w:szCs w:val="32"/>
        </w:rPr>
      </w:pPr>
      <w:r>
        <w:rPr>
          <w:rFonts w:cs="宋体"/>
          <w:sz w:val="32"/>
          <w:szCs w:val="32"/>
        </w:rPr>
        <w:br w:type="page"/>
      </w:r>
    </w:p>
    <w:p>
      <w:pPr>
        <w:jc w:val="center"/>
        <w:rPr>
          <w:rStyle w:val="34"/>
        </w:rPr>
      </w:pPr>
      <w:r>
        <w:rPr>
          <w:rStyle w:val="34"/>
        </w:rPr>
        <w:t>投标文件目录</w:t>
      </w:r>
    </w:p>
    <w:p>
      <w:pPr>
        <w:numPr>
          <w:ilvl w:val="0"/>
          <w:numId w:val="3"/>
        </w:numPr>
        <w:spacing w:line="360" w:lineRule="auto"/>
        <w:rPr>
          <w:rFonts w:eastAsia="宋体"/>
          <w:sz w:val="28"/>
          <w:szCs w:val="28"/>
        </w:rPr>
      </w:pPr>
      <w:r>
        <w:rPr>
          <w:rFonts w:eastAsia="宋体"/>
          <w:sz w:val="28"/>
          <w:szCs w:val="28"/>
        </w:rPr>
        <w:t>投标函</w:t>
      </w:r>
    </w:p>
    <w:p>
      <w:pPr>
        <w:numPr>
          <w:ilvl w:val="0"/>
          <w:numId w:val="3"/>
        </w:numPr>
        <w:spacing w:line="360" w:lineRule="auto"/>
        <w:rPr>
          <w:rFonts w:eastAsia="宋体"/>
          <w:sz w:val="28"/>
          <w:szCs w:val="28"/>
        </w:rPr>
      </w:pPr>
      <w:r>
        <w:rPr>
          <w:rFonts w:hint="eastAsia" w:eastAsia="宋体"/>
          <w:sz w:val="28"/>
          <w:szCs w:val="28"/>
        </w:rPr>
        <w:t>谈判响应报价表</w:t>
      </w:r>
    </w:p>
    <w:p>
      <w:pPr>
        <w:numPr>
          <w:ilvl w:val="0"/>
          <w:numId w:val="3"/>
        </w:numPr>
        <w:spacing w:line="360" w:lineRule="auto"/>
        <w:rPr>
          <w:rFonts w:eastAsia="宋体"/>
          <w:sz w:val="28"/>
          <w:szCs w:val="28"/>
        </w:rPr>
      </w:pPr>
      <w:r>
        <w:rPr>
          <w:rFonts w:hint="eastAsia" w:eastAsia="宋体"/>
          <w:sz w:val="28"/>
          <w:szCs w:val="28"/>
        </w:rPr>
        <w:t>谈判响应报价表明细表</w:t>
      </w:r>
    </w:p>
    <w:p>
      <w:pPr>
        <w:numPr>
          <w:ilvl w:val="0"/>
          <w:numId w:val="3"/>
        </w:numPr>
        <w:spacing w:line="360" w:lineRule="auto"/>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pPr>
        <w:numPr>
          <w:ilvl w:val="0"/>
          <w:numId w:val="3"/>
        </w:numPr>
        <w:spacing w:line="360" w:lineRule="auto"/>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pPr>
        <w:numPr>
          <w:ilvl w:val="0"/>
          <w:numId w:val="3"/>
        </w:numPr>
        <w:spacing w:line="360" w:lineRule="auto"/>
        <w:rPr>
          <w:rFonts w:eastAsia="宋体"/>
          <w:sz w:val="28"/>
          <w:szCs w:val="28"/>
        </w:rPr>
      </w:pPr>
      <w:r>
        <w:rPr>
          <w:rFonts w:hint="eastAsia" w:eastAsia="宋体"/>
          <w:sz w:val="28"/>
          <w:szCs w:val="28"/>
        </w:rPr>
        <w:t>资格审查资料</w:t>
      </w:r>
    </w:p>
    <w:p>
      <w:pPr>
        <w:numPr>
          <w:ilvl w:val="0"/>
          <w:numId w:val="3"/>
        </w:numPr>
        <w:spacing w:line="360" w:lineRule="auto"/>
        <w:rPr>
          <w:rFonts w:eastAsia="宋体"/>
          <w:sz w:val="28"/>
          <w:szCs w:val="28"/>
        </w:rPr>
      </w:pPr>
      <w:r>
        <w:rPr>
          <w:rFonts w:hint="eastAsia"/>
          <w:sz w:val="28"/>
          <w:szCs w:val="28"/>
          <w:lang w:val="en-US" w:eastAsia="zh-CN"/>
        </w:rPr>
        <w:t>运维要求</w:t>
      </w:r>
      <w:r>
        <w:rPr>
          <w:rFonts w:eastAsia="宋体"/>
          <w:sz w:val="28"/>
          <w:szCs w:val="28"/>
        </w:rPr>
        <w:t>响应</w:t>
      </w:r>
      <w:r>
        <w:rPr>
          <w:rFonts w:hint="eastAsia" w:eastAsia="宋体"/>
          <w:sz w:val="28"/>
          <w:szCs w:val="28"/>
        </w:rPr>
        <w:t>偏离</w:t>
      </w:r>
      <w:r>
        <w:rPr>
          <w:rFonts w:eastAsia="宋体"/>
          <w:sz w:val="28"/>
          <w:szCs w:val="28"/>
        </w:rPr>
        <w:t>表</w:t>
      </w:r>
    </w:p>
    <w:p>
      <w:pPr>
        <w:numPr>
          <w:ilvl w:val="0"/>
          <w:numId w:val="3"/>
        </w:numPr>
        <w:spacing w:line="360" w:lineRule="auto"/>
        <w:rPr>
          <w:rFonts w:eastAsia="宋体"/>
          <w:sz w:val="28"/>
          <w:szCs w:val="28"/>
        </w:rPr>
      </w:pPr>
      <w:r>
        <w:rPr>
          <w:rFonts w:eastAsia="宋体"/>
          <w:sz w:val="28"/>
          <w:szCs w:val="28"/>
        </w:rPr>
        <w:t>商务响应</w:t>
      </w:r>
      <w:r>
        <w:rPr>
          <w:rFonts w:hint="eastAsia" w:eastAsia="宋体"/>
          <w:sz w:val="28"/>
          <w:szCs w:val="28"/>
        </w:rPr>
        <w:t>偏离</w:t>
      </w:r>
      <w:r>
        <w:rPr>
          <w:rFonts w:eastAsia="宋体"/>
          <w:sz w:val="28"/>
          <w:szCs w:val="28"/>
        </w:rPr>
        <w:t>表</w:t>
      </w:r>
    </w:p>
    <w:p>
      <w:pPr>
        <w:rPr>
          <w:rFonts w:cs="宋体"/>
          <w:sz w:val="32"/>
          <w:szCs w:val="32"/>
        </w:rPr>
      </w:pPr>
    </w:p>
    <w:p>
      <w:pPr>
        <w:pStyle w:val="2"/>
        <w:numPr>
          <w:ilvl w:val="0"/>
          <w:numId w:val="0"/>
        </w:numPr>
        <w:spacing w:before="120" w:after="120"/>
        <w:jc w:val="center"/>
        <w:rPr>
          <w:rFonts w:cs="宋体"/>
          <w:sz w:val="32"/>
          <w:szCs w:val="32"/>
        </w:rPr>
        <w:sectPr>
          <w:pgSz w:w="11906" w:h="16838"/>
          <w:pgMar w:top="1100" w:right="1800" w:bottom="1157" w:left="1800" w:header="851" w:footer="992" w:gutter="0"/>
          <w:cols w:space="425" w:num="1"/>
          <w:docGrid w:type="lines" w:linePitch="312" w:charSpace="0"/>
        </w:sectPr>
      </w:pPr>
    </w:p>
    <w:p>
      <w:pPr>
        <w:pStyle w:val="2"/>
        <w:numPr>
          <w:ilvl w:val="0"/>
          <w:numId w:val="0"/>
        </w:numPr>
        <w:spacing w:before="120" w:after="120"/>
        <w:jc w:val="center"/>
        <w:rPr>
          <w:rFonts w:hint="default" w:cs="宋体"/>
          <w:sz w:val="32"/>
          <w:szCs w:val="32"/>
        </w:rPr>
      </w:pPr>
      <w:r>
        <w:rPr>
          <w:rFonts w:cs="宋体"/>
          <w:sz w:val="32"/>
          <w:szCs w:val="32"/>
        </w:rPr>
        <w:t>一、投 标 函</w:t>
      </w:r>
      <w:bookmarkEnd w:id="0"/>
    </w:p>
    <w:p>
      <w:pPr>
        <w:rPr>
          <w:sz w:val="28"/>
          <w:szCs w:val="28"/>
        </w:rPr>
      </w:pPr>
      <w:r>
        <w:rPr>
          <w:rFonts w:hint="eastAsia"/>
          <w:sz w:val="28"/>
          <w:szCs w:val="28"/>
          <w:u w:val="single"/>
        </w:rPr>
        <w:t>丹阳市人民医院:</w:t>
      </w:r>
      <w:r>
        <w:rPr>
          <w:rFonts w:hint="eastAsia"/>
          <w:sz w:val="28"/>
          <w:szCs w:val="28"/>
        </w:rPr>
        <w:t xml:space="preserve"> </w:t>
      </w:r>
    </w:p>
    <w:p>
      <w:pPr>
        <w:rPr>
          <w:sz w:val="28"/>
          <w:szCs w:val="28"/>
        </w:rPr>
      </w:pPr>
      <w:r>
        <w:rPr>
          <w:rFonts w:hint="eastAsia"/>
          <w:sz w:val="28"/>
          <w:szCs w:val="28"/>
        </w:rPr>
        <w:t>1．我方己仔细研究了</w:t>
      </w:r>
      <w:r>
        <w:rPr>
          <w:sz w:val="32"/>
          <w:szCs w:val="32"/>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sz w:val="28"/>
          <w:szCs w:val="28"/>
          <w:u w:val="single"/>
          <w:lang w:eastAsia="zh-CN"/>
        </w:rPr>
        <w:t>丹阳市人民医院氨氮在线设备安装、验收及运维项目</w:t>
      </w:r>
      <w:r>
        <w:rPr>
          <w:rFonts w:hint="eastAsia"/>
          <w:sz w:val="28"/>
          <w:szCs w:val="28"/>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rPr>
        <w:t>招标文件的全部内容，愿意以人民币（大写）</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 xml:space="preserve"> 元）的投标总报价，并将按招标文件的规定履行合同责任和义务，实现工程目的。</w:t>
      </w:r>
    </w:p>
    <w:p>
      <w:pPr>
        <w:rPr>
          <w:sz w:val="28"/>
          <w:szCs w:val="28"/>
        </w:rPr>
      </w:pPr>
      <w:r>
        <w:rPr>
          <w:rFonts w:hint="eastAsia"/>
          <w:sz w:val="28"/>
          <w:szCs w:val="28"/>
        </w:rPr>
        <w:t>2．我方承诺在招标文件规定的投标有效期内不修改、撤销投标文件。</w:t>
      </w:r>
    </w:p>
    <w:p>
      <w:pPr>
        <w:rPr>
          <w:sz w:val="28"/>
          <w:szCs w:val="28"/>
        </w:rPr>
      </w:pPr>
      <w:r>
        <w:rPr>
          <w:rFonts w:hint="eastAsia"/>
          <w:sz w:val="28"/>
          <w:szCs w:val="28"/>
        </w:rPr>
        <w:t>3．如果我方中标，将派出</w:t>
      </w:r>
      <w:r>
        <w:rPr>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u w:val="single"/>
        </w:rPr>
        <w:t xml:space="preserve">          </w:t>
      </w:r>
      <w:r>
        <w:rPr>
          <w:rFonts w:hint="eastAsia"/>
          <w:sz w:val="28"/>
          <w:szCs w:val="28"/>
        </w:rPr>
        <w:t>（姓名）作为本工程的项目负责人。</w:t>
      </w:r>
    </w:p>
    <w:p>
      <w:pPr>
        <w:rPr>
          <w:sz w:val="28"/>
          <w:szCs w:val="28"/>
        </w:rPr>
      </w:pPr>
      <w:r>
        <w:rPr>
          <w:rFonts w:hint="eastAsia"/>
          <w:sz w:val="28"/>
          <w:szCs w:val="28"/>
        </w:rPr>
        <w:t>4．如我方中标：</w:t>
      </w:r>
    </w:p>
    <w:p>
      <w:pPr>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我方承诺在收到中标通知后，在规定的期限内与你方签订合同。</w:t>
      </w:r>
    </w:p>
    <w:p>
      <w:pPr>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我方将严格履行本投标文件中的全部承诺和责任，并遵守招标文件中对投标人的所有规定。</w:t>
      </w:r>
    </w:p>
    <w:p>
      <w:pPr>
        <w:rPr>
          <w:sz w:val="28"/>
          <w:szCs w:val="28"/>
        </w:rPr>
      </w:pPr>
      <w:r>
        <w:rPr>
          <w:rFonts w:hint="eastAsia"/>
          <w:sz w:val="28"/>
          <w:szCs w:val="28"/>
        </w:rPr>
        <w:t>5.</w:t>
      </w:r>
      <w:r>
        <w:rPr>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rPr>
        <w:t>（其他补充说明）。</w:t>
      </w:r>
    </w:p>
    <w:p>
      <w:pPr>
        <w:rPr>
          <w:sz w:val="28"/>
          <w:szCs w:val="28"/>
        </w:rPr>
      </w:pPr>
      <w:r>
        <w:rPr>
          <w:rFonts w:hint="eastAsia"/>
          <w:sz w:val="28"/>
          <w:szCs w:val="28"/>
        </w:rPr>
        <w:t> </w:t>
      </w:r>
    </w:p>
    <w:p>
      <w:pPr>
        <w:jc w:val="left"/>
        <w:rPr>
          <w:sz w:val="28"/>
          <w:szCs w:val="28"/>
        </w:rPr>
      </w:pPr>
      <w:r>
        <w:rPr>
          <w:rFonts w:hint="eastAsia"/>
          <w:sz w:val="28"/>
          <w:szCs w:val="28"/>
        </w:rPr>
        <w:t xml:space="preserve">                         投标人(公章)：               </w:t>
      </w:r>
    </w:p>
    <w:p>
      <w:pPr>
        <w:ind w:firstLine="3360" w:firstLineChars="1200"/>
        <w:jc w:val="left"/>
        <w:rPr>
          <w:sz w:val="28"/>
          <w:szCs w:val="28"/>
        </w:rPr>
      </w:pPr>
      <w:r>
        <w:rPr>
          <w:rFonts w:hint="eastAsia"/>
          <w:sz w:val="28"/>
          <w:szCs w:val="28"/>
        </w:rPr>
        <w:t xml:space="preserve">法人代表或授权委托人（签字或印章）：          </w:t>
      </w:r>
    </w:p>
    <w:p>
      <w:pPr>
        <w:ind w:firstLine="3360" w:firstLineChars="1200"/>
        <w:jc w:val="left"/>
        <w:rPr>
          <w:sz w:val="28"/>
          <w:szCs w:val="28"/>
        </w:rPr>
      </w:pPr>
      <w:r>
        <w:rPr>
          <w:rFonts w:hint="eastAsia"/>
          <w:sz w:val="28"/>
          <w:szCs w:val="28"/>
        </w:rPr>
        <w:t xml:space="preserve">日期：               </w:t>
      </w:r>
    </w:p>
    <w:p>
      <w:pPr>
        <w:snapToGrid w:val="0"/>
        <w:spacing w:line="470" w:lineRule="atLeast"/>
        <w:ind w:left="5680" w:hanging="5074"/>
        <w:rPr>
          <w:rFonts w:ascii="宋体" w:hAnsi="宋体"/>
        </w:rPr>
      </w:pPr>
    </w:p>
    <w:p>
      <w:pPr>
        <w:snapToGrid w:val="0"/>
        <w:spacing w:line="470" w:lineRule="atLeast"/>
        <w:jc w:val="center"/>
        <w:rPr>
          <w:b/>
          <w:bCs/>
          <w:sz w:val="36"/>
        </w:rPr>
      </w:pPr>
      <w:r>
        <w:rPr>
          <w:rFonts w:ascii="宋体" w:hAnsi="宋体"/>
        </w:rPr>
        <w:br w:type="page"/>
      </w:r>
      <w:bookmarkStart w:id="1" w:name="_Toc26543"/>
      <w:r>
        <w:rPr>
          <w:rFonts w:hint="eastAsia" w:cs="Times New Roman"/>
          <w:b/>
          <w:bCs/>
          <w:sz w:val="32"/>
          <w:szCs w:val="20"/>
        </w:rPr>
        <w:t>二、</w:t>
      </w:r>
      <w:r>
        <w:rPr>
          <w:rFonts w:hint="eastAsia" w:ascii="宋体" w:hAnsi="宋体"/>
        </w:rPr>
        <w:t xml:space="preserve"> </w:t>
      </w:r>
      <w:r>
        <w:rPr>
          <w:rFonts w:hint="eastAsia"/>
          <w:b/>
          <w:bCs/>
          <w:sz w:val="32"/>
          <w:szCs w:val="20"/>
        </w:rPr>
        <w:t>谈判响</w:t>
      </w:r>
      <w:r>
        <w:rPr>
          <w:b/>
          <w:bCs/>
          <w:sz w:val="32"/>
          <w:szCs w:val="20"/>
        </w:rPr>
        <w:t>应报价表（格式）</w:t>
      </w:r>
      <w:bookmarkEnd w:id="1"/>
    </w:p>
    <w:tbl>
      <w:tblPr>
        <w:tblStyle w:val="20"/>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8"/>
              <w:jc w:val="left"/>
              <w:rPr>
                <w:sz w:val="24"/>
                <w:szCs w:val="24"/>
              </w:rPr>
            </w:pPr>
            <w:r>
              <w:rPr>
                <w:rFonts w:hint="eastAsia"/>
                <w:color w:val="000000"/>
                <w:sz w:val="24"/>
                <w:szCs w:val="24"/>
                <w:lang w:eastAsia="zh-CN"/>
              </w:rPr>
              <w:t>采购</w:t>
            </w:r>
            <w:r>
              <w:rPr>
                <w:color w:val="000000"/>
                <w:sz w:val="24"/>
                <w:szCs w:val="24"/>
              </w:rPr>
              <w:t>単位：丹阳市人民医院</w:t>
            </w:r>
          </w:p>
        </w:tc>
      </w:tr>
      <w:tr>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8"/>
              <w:jc w:val="left"/>
              <w:rPr>
                <w:rFonts w:hint="eastAsia" w:eastAsia="宋体"/>
                <w:color w:val="000000"/>
                <w:sz w:val="24"/>
                <w:szCs w:val="24"/>
                <w:lang w:eastAsia="zh-CN"/>
              </w:rPr>
            </w:pPr>
            <w:r>
              <w:rPr>
                <w:rFonts w:hint="eastAsia"/>
                <w:color w:val="000000"/>
                <w:sz w:val="24"/>
                <w:szCs w:val="24"/>
                <w:lang w:eastAsia="zh-CN"/>
              </w:rPr>
              <w:t>项目</w:t>
            </w:r>
            <w:r>
              <w:rPr>
                <w:color w:val="000000"/>
                <w:sz w:val="24"/>
                <w:szCs w:val="24"/>
              </w:rPr>
              <w:t>名称：</w:t>
            </w:r>
            <w:r>
              <w:rPr>
                <w:rFonts w:hint="eastAsia"/>
                <w:color w:val="000000"/>
                <w:sz w:val="24"/>
                <w:szCs w:val="24"/>
                <w:lang w:eastAsia="zh-CN"/>
              </w:rPr>
              <w:t>丹阳市人民医院氨氮在线设备安装、验收及运维项目</w:t>
            </w:r>
          </w:p>
        </w:tc>
      </w:tr>
      <w:tr>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8"/>
              <w:jc w:val="left"/>
              <w:rPr>
                <w:color w:val="000000"/>
                <w:sz w:val="24"/>
                <w:szCs w:val="24"/>
                <w:lang w:val="en-US" w:eastAsia="zh-CN"/>
              </w:rPr>
            </w:pPr>
            <w:r>
              <w:rPr>
                <w:rFonts w:hint="eastAsia"/>
                <w:color w:val="000000"/>
                <w:sz w:val="24"/>
                <w:szCs w:val="24"/>
                <w:lang w:val="en-US" w:eastAsia="zh-CN"/>
              </w:rPr>
              <w:t>投标单位（盖章）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jc w:val="left"/>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jc w:val="left"/>
              <w:rPr>
                <w:color w:val="000000"/>
                <w:sz w:val="24"/>
                <w:szCs w:val="24"/>
                <w:lang w:val="en-US" w:eastAsia="zh-CN"/>
              </w:rPr>
            </w:pPr>
          </w:p>
        </w:tc>
      </w:tr>
      <w:tr>
        <w:tblPrEx>
          <w:tblCellMar>
            <w:top w:w="0" w:type="dxa"/>
            <w:left w:w="10" w:type="dxa"/>
            <w:bottom w:w="0" w:type="dxa"/>
            <w:right w:w="10" w:type="dxa"/>
          </w:tblCellMar>
        </w:tblPrEx>
        <w:trPr>
          <w:trHeight w:val="7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jc w:val="center"/>
              <w:rPr>
                <w:color w:val="000000"/>
                <w:sz w:val="24"/>
                <w:szCs w:val="24"/>
                <w:lang w:val="en-US" w:eastAsia="zh-CN"/>
              </w:rPr>
            </w:pPr>
            <w:r>
              <w:rPr>
                <w:rFonts w:hint="eastAsia"/>
                <w:color w:val="000000"/>
                <w:sz w:val="24"/>
                <w:szCs w:val="24"/>
                <w:lang w:val="en-US" w:eastAsia="zh-CN"/>
              </w:rPr>
              <w:t>金额</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jc w:val="center"/>
              <w:rPr>
                <w:color w:val="000000"/>
                <w:sz w:val="24"/>
                <w:szCs w:val="24"/>
                <w:lang w:val="en-US" w:eastAsia="zh-CN"/>
              </w:rPr>
            </w:pPr>
            <w:r>
              <w:rPr>
                <w:rFonts w:hint="eastAsia"/>
                <w:color w:val="000000"/>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000000"/>
              </w:rPr>
            </w:pPr>
          </w:p>
        </w:tc>
      </w:tr>
      <w:tr>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jc w:val="center"/>
              <w:rPr>
                <w:color w:val="000000"/>
                <w:sz w:val="24"/>
                <w:szCs w:val="24"/>
                <w:lang w:val="en-US" w:eastAsia="zh-CN"/>
              </w:rPr>
            </w:pPr>
            <w:r>
              <w:rPr>
                <w:rFonts w:hint="eastAsia"/>
                <w:color w:val="00000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000000"/>
              </w:rPr>
            </w:pPr>
          </w:p>
        </w:tc>
      </w:tr>
    </w:tbl>
    <w:p>
      <w:pPr>
        <w:pStyle w:val="25"/>
        <w:rPr>
          <w:sz w:val="28"/>
          <w:szCs w:val="28"/>
        </w:rPr>
      </w:pPr>
    </w:p>
    <w:p>
      <w:pPr>
        <w:pStyle w:val="12"/>
        <w:ind w:firstLine="560" w:firstLineChars="200"/>
      </w:pPr>
      <w:r>
        <w:t>注：1、总报价应包含磋商文件所确定的采购范围内的全部内容</w:t>
      </w:r>
      <w:r>
        <w:rPr>
          <w:rFonts w:hint="eastAsia"/>
        </w:rPr>
        <w:t>，含税</w:t>
      </w:r>
      <w:r>
        <w:rPr>
          <w:rFonts w:hint="eastAsia" w:cs="Times New Roman"/>
        </w:rPr>
        <w:t>。</w:t>
      </w:r>
    </w:p>
    <w:p>
      <w:pPr>
        <w:pStyle w:val="12"/>
        <w:spacing w:before="5"/>
        <w:ind w:firstLine="1120" w:firstLineChars="400"/>
      </w:pPr>
      <w:r>
        <w:t>2、投标供应商必须据实填写此表，项目报价不得超过预算。</w:t>
      </w:r>
    </w:p>
    <w:p>
      <w:pPr>
        <w:pStyle w:val="12"/>
        <w:ind w:firstLine="280" w:firstLineChars="100"/>
      </w:pPr>
    </w:p>
    <w:p>
      <w:pPr>
        <w:rPr>
          <w:b/>
          <w:bCs/>
          <w:sz w:val="32"/>
          <w:szCs w:val="20"/>
        </w:rPr>
      </w:pPr>
      <w:bookmarkStart w:id="2" w:name="_Toc26951"/>
      <w:r>
        <w:rPr>
          <w:rFonts w:hint="eastAsia"/>
          <w:b/>
          <w:bCs/>
          <w:sz w:val="32"/>
          <w:szCs w:val="20"/>
        </w:rPr>
        <w:br w:type="page"/>
      </w:r>
    </w:p>
    <w:p>
      <w:pPr>
        <w:pStyle w:val="18"/>
        <w:numPr>
          <w:ilvl w:val="0"/>
          <w:numId w:val="4"/>
        </w:numPr>
        <w:spacing w:before="120" w:beforeAutospacing="0" w:after="120" w:afterAutospacing="0" w:line="240" w:lineRule="atLeast"/>
        <w:ind w:firstLine="567"/>
        <w:jc w:val="center"/>
        <w:outlineLvl w:val="0"/>
        <w:rPr>
          <w:rFonts w:hint="eastAsia"/>
          <w:b/>
          <w:bCs/>
          <w:sz w:val="32"/>
          <w:szCs w:val="20"/>
        </w:rPr>
      </w:pPr>
      <w:r>
        <w:rPr>
          <w:rFonts w:hint="eastAsia"/>
          <w:b/>
          <w:bCs/>
          <w:sz w:val="32"/>
          <w:szCs w:val="20"/>
        </w:rPr>
        <w:t>谈判响</w:t>
      </w:r>
      <w:r>
        <w:rPr>
          <w:b/>
          <w:bCs/>
          <w:sz w:val="32"/>
          <w:szCs w:val="20"/>
        </w:rPr>
        <w:t>应报价表</w:t>
      </w:r>
      <w:r>
        <w:rPr>
          <w:rFonts w:hint="eastAsia"/>
          <w:b/>
          <w:bCs/>
          <w:sz w:val="32"/>
          <w:szCs w:val="20"/>
        </w:rPr>
        <w:t>明细表</w:t>
      </w:r>
    </w:p>
    <w:p>
      <w:pPr>
        <w:pStyle w:val="18"/>
        <w:numPr>
          <w:ilvl w:val="0"/>
          <w:numId w:val="0"/>
        </w:numPr>
        <w:spacing w:before="120" w:beforeAutospacing="0" w:after="120" w:afterAutospacing="0" w:line="240" w:lineRule="atLeast"/>
        <w:jc w:val="both"/>
        <w:outlineLvl w:val="0"/>
        <w:rPr>
          <w:rFonts w:hint="default" w:ascii="宋体" w:hAnsi="宋体" w:eastAsia="宋体" w:cs="宋体"/>
          <w:color w:val="0000FF"/>
          <w:sz w:val="32"/>
          <w:szCs w:val="32"/>
          <w:lang w:val="en-US" w:eastAsia="zh-CN"/>
        </w:rPr>
      </w:pPr>
      <w:r>
        <w:rPr>
          <w:rFonts w:hint="eastAsia" w:ascii="宋体" w:hAnsi="宋体" w:eastAsia="宋体" w:cs="宋体"/>
          <w:color w:val="0000FF"/>
          <w:sz w:val="32"/>
          <w:szCs w:val="32"/>
          <w:lang w:val="en-US" w:eastAsia="zh-CN"/>
        </w:rPr>
        <w:t>3.1设备及验收备案费用</w:t>
      </w:r>
    </w:p>
    <w:tbl>
      <w:tblPr>
        <w:tblStyle w:val="20"/>
        <w:tblpPr w:leftFromText="180" w:rightFromText="180" w:vertAnchor="text" w:horzAnchor="page" w:tblpX="1897" w:tblpY="295"/>
        <w:tblOverlap w:val="never"/>
        <w:tblW w:w="8455" w:type="dxa"/>
        <w:tblInd w:w="0" w:type="dxa"/>
        <w:tblLayout w:type="fixed"/>
        <w:tblCellMar>
          <w:top w:w="0" w:type="dxa"/>
          <w:left w:w="108" w:type="dxa"/>
          <w:bottom w:w="0" w:type="dxa"/>
          <w:right w:w="108" w:type="dxa"/>
        </w:tblCellMar>
      </w:tblPr>
      <w:tblGrid>
        <w:gridCol w:w="1575"/>
        <w:gridCol w:w="2330"/>
        <w:gridCol w:w="990"/>
        <w:gridCol w:w="1050"/>
        <w:gridCol w:w="1130"/>
        <w:gridCol w:w="1380"/>
      </w:tblGrid>
      <w:tr>
        <w:tblPrEx>
          <w:tblCellMar>
            <w:top w:w="0" w:type="dxa"/>
            <w:left w:w="108" w:type="dxa"/>
            <w:bottom w:w="0" w:type="dxa"/>
            <w:right w:w="108" w:type="dxa"/>
          </w:tblCellMar>
        </w:tblPrEx>
        <w:trPr>
          <w:trHeight w:val="675"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序号</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数量</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单价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金额</w:t>
            </w:r>
          </w:p>
        </w:tc>
      </w:tr>
      <w:tr>
        <w:tblPrEx>
          <w:tblCellMar>
            <w:top w:w="0" w:type="dxa"/>
            <w:left w:w="108" w:type="dxa"/>
            <w:bottom w:w="0" w:type="dxa"/>
            <w:right w:w="108" w:type="dxa"/>
          </w:tblCellMar>
        </w:tblPrEx>
        <w:trPr>
          <w:trHeight w:val="475" w:hRule="atLeast"/>
        </w:trPr>
        <w:tc>
          <w:tcPr>
            <w:tcW w:w="15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r>
      <w:tr>
        <w:tblPrEx>
          <w:tblCellMar>
            <w:top w:w="0" w:type="dxa"/>
            <w:left w:w="108" w:type="dxa"/>
            <w:bottom w:w="0" w:type="dxa"/>
            <w:right w:w="108" w:type="dxa"/>
          </w:tblCellMar>
        </w:tblPrEx>
        <w:trPr>
          <w:trHeight w:val="475" w:hRule="atLeast"/>
        </w:trPr>
        <w:tc>
          <w:tcPr>
            <w:tcW w:w="15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r>
      <w:tr>
        <w:tblPrEx>
          <w:tblCellMar>
            <w:top w:w="0" w:type="dxa"/>
            <w:left w:w="108" w:type="dxa"/>
            <w:bottom w:w="0" w:type="dxa"/>
            <w:right w:w="108" w:type="dxa"/>
          </w:tblCellMar>
        </w:tblPrEx>
        <w:trPr>
          <w:trHeight w:val="475" w:hRule="atLeast"/>
        </w:trPr>
        <w:tc>
          <w:tcPr>
            <w:tcW w:w="707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30"/>
                <w:szCs w:val="30"/>
              </w:rPr>
            </w:pPr>
            <w:r>
              <w:rPr>
                <w:rFonts w:hint="eastAsia" w:ascii="仿宋" w:hAnsi="仿宋" w:eastAsia="仿宋" w:cs="仿宋"/>
                <w:color w:val="000000"/>
                <w:sz w:val="30"/>
                <w:szCs w:val="30"/>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r>
    </w:tbl>
    <w:p>
      <w:pPr>
        <w:pStyle w:val="18"/>
        <w:spacing w:before="120" w:beforeAutospacing="0" w:after="120" w:afterAutospacing="0" w:line="240" w:lineRule="atLeast"/>
        <w:ind w:firstLine="567"/>
        <w:jc w:val="center"/>
        <w:outlineLvl w:val="0"/>
        <w:rPr>
          <w:b/>
          <w:bCs/>
          <w:sz w:val="32"/>
          <w:szCs w:val="20"/>
        </w:rPr>
      </w:pPr>
    </w:p>
    <w:p>
      <w:pPr>
        <w:pStyle w:val="18"/>
        <w:numPr>
          <w:ilvl w:val="0"/>
          <w:numId w:val="0"/>
        </w:numPr>
        <w:spacing w:before="120" w:beforeAutospacing="0" w:after="120" w:afterAutospacing="0" w:line="240" w:lineRule="atLeast"/>
        <w:jc w:val="both"/>
        <w:outlineLvl w:val="0"/>
        <w:rPr>
          <w:rFonts w:hint="eastAsia" w:ascii="宋体" w:hAnsi="宋体" w:eastAsia="宋体" w:cs="宋体"/>
          <w:color w:val="0000FF"/>
          <w:sz w:val="32"/>
          <w:szCs w:val="32"/>
          <w:lang w:val="en-US" w:eastAsia="zh-CN"/>
        </w:rPr>
      </w:pPr>
    </w:p>
    <w:p>
      <w:pPr>
        <w:pStyle w:val="18"/>
        <w:numPr>
          <w:ilvl w:val="0"/>
          <w:numId w:val="0"/>
        </w:numPr>
        <w:spacing w:before="120" w:beforeAutospacing="0" w:after="120" w:afterAutospacing="0" w:line="240" w:lineRule="atLeast"/>
        <w:jc w:val="both"/>
        <w:outlineLvl w:val="0"/>
        <w:rPr>
          <w:rFonts w:hint="eastAsia" w:ascii="宋体" w:hAnsi="宋体" w:eastAsia="宋体" w:cs="宋体"/>
          <w:color w:val="0000FF"/>
          <w:sz w:val="32"/>
          <w:szCs w:val="32"/>
          <w:lang w:val="en-US" w:eastAsia="zh-CN"/>
        </w:rPr>
      </w:pPr>
    </w:p>
    <w:p>
      <w:pPr>
        <w:pStyle w:val="18"/>
        <w:numPr>
          <w:ilvl w:val="0"/>
          <w:numId w:val="0"/>
        </w:numPr>
        <w:spacing w:before="120" w:beforeAutospacing="0" w:after="120" w:afterAutospacing="0" w:line="240" w:lineRule="atLeast"/>
        <w:jc w:val="both"/>
        <w:outlineLvl w:val="0"/>
        <w:rPr>
          <w:rFonts w:hint="eastAsia" w:ascii="宋体" w:hAnsi="宋体" w:eastAsia="宋体" w:cs="宋体"/>
          <w:b/>
          <w:bCs/>
          <w:sz w:val="28"/>
          <w:szCs w:val="28"/>
          <w:lang w:val="en-US" w:eastAsia="zh-CN"/>
        </w:rPr>
      </w:pPr>
      <w:r>
        <w:rPr>
          <w:rFonts w:hint="eastAsia" w:ascii="宋体" w:hAnsi="宋体" w:eastAsia="宋体" w:cs="宋体"/>
          <w:color w:val="0000FF"/>
          <w:sz w:val="32"/>
          <w:szCs w:val="32"/>
          <w:lang w:val="en-US" w:eastAsia="zh-CN"/>
        </w:rPr>
        <w:t xml:space="preserve">3.2 </w:t>
      </w:r>
      <w:r>
        <w:rPr>
          <w:rFonts w:hint="eastAsia" w:ascii="宋体" w:hAnsi="宋体" w:eastAsia="宋体" w:cs="宋体"/>
          <w:color w:val="0000FF"/>
          <w:sz w:val="32"/>
          <w:szCs w:val="32"/>
          <w:lang w:eastAsia="zh-CN"/>
        </w:rPr>
        <w:t>设备运维费用</w:t>
      </w:r>
      <w:r>
        <w:rPr>
          <w:rFonts w:hint="eastAsia" w:ascii="宋体" w:hAnsi="宋体" w:eastAsia="宋体" w:cs="宋体"/>
          <w:color w:val="0000FF"/>
          <w:sz w:val="28"/>
          <w:szCs w:val="28"/>
          <w:lang w:eastAsia="zh-CN"/>
        </w:rPr>
        <w:t>（</w:t>
      </w:r>
      <w:r>
        <w:rPr>
          <w:rFonts w:hint="eastAsia" w:ascii="宋体" w:hAnsi="宋体" w:eastAsia="宋体" w:cs="宋体"/>
          <w:color w:val="0000FF"/>
          <w:sz w:val="28"/>
          <w:szCs w:val="28"/>
          <w:lang w:val="en-US" w:eastAsia="zh-CN"/>
        </w:rPr>
        <w:t>运维费按五个月报总价，并报月运维单价</w:t>
      </w:r>
      <w:r>
        <w:rPr>
          <w:rFonts w:hint="eastAsia" w:ascii="宋体" w:hAnsi="宋体" w:eastAsia="宋体" w:cs="宋体"/>
          <w:color w:val="0000FF"/>
          <w:sz w:val="28"/>
          <w:szCs w:val="28"/>
          <w:lang w:eastAsia="zh-CN"/>
        </w:rPr>
        <w:t>）</w:t>
      </w:r>
    </w:p>
    <w:tbl>
      <w:tblPr>
        <w:tblStyle w:val="20"/>
        <w:tblpPr w:leftFromText="180" w:rightFromText="180" w:vertAnchor="text" w:horzAnchor="page" w:tblpX="1897" w:tblpY="295"/>
        <w:tblOverlap w:val="never"/>
        <w:tblW w:w="8455" w:type="dxa"/>
        <w:tblInd w:w="0" w:type="dxa"/>
        <w:tblLayout w:type="fixed"/>
        <w:tblCellMar>
          <w:top w:w="0" w:type="dxa"/>
          <w:left w:w="108" w:type="dxa"/>
          <w:bottom w:w="0" w:type="dxa"/>
          <w:right w:w="108" w:type="dxa"/>
        </w:tblCellMar>
      </w:tblPr>
      <w:tblGrid>
        <w:gridCol w:w="1575"/>
        <w:gridCol w:w="2330"/>
        <w:gridCol w:w="990"/>
        <w:gridCol w:w="1050"/>
        <w:gridCol w:w="1130"/>
        <w:gridCol w:w="1380"/>
      </w:tblGrid>
      <w:tr>
        <w:tblPrEx>
          <w:tblCellMar>
            <w:top w:w="0" w:type="dxa"/>
            <w:left w:w="108" w:type="dxa"/>
            <w:bottom w:w="0" w:type="dxa"/>
            <w:right w:w="108" w:type="dxa"/>
          </w:tblCellMar>
        </w:tblPrEx>
        <w:trPr>
          <w:trHeight w:val="675"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序号</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数量</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单价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sz w:val="30"/>
                <w:szCs w:val="30"/>
              </w:rPr>
              <w:t>金额</w:t>
            </w:r>
          </w:p>
        </w:tc>
      </w:tr>
      <w:tr>
        <w:tblPrEx>
          <w:tblCellMar>
            <w:top w:w="0" w:type="dxa"/>
            <w:left w:w="108" w:type="dxa"/>
            <w:bottom w:w="0" w:type="dxa"/>
            <w:right w:w="108" w:type="dxa"/>
          </w:tblCellMar>
        </w:tblPrEx>
        <w:trPr>
          <w:trHeight w:val="475" w:hRule="atLeast"/>
        </w:trPr>
        <w:tc>
          <w:tcPr>
            <w:tcW w:w="15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r>
      <w:tr>
        <w:tblPrEx>
          <w:tblCellMar>
            <w:top w:w="0" w:type="dxa"/>
            <w:left w:w="108" w:type="dxa"/>
            <w:bottom w:w="0" w:type="dxa"/>
            <w:right w:w="108" w:type="dxa"/>
          </w:tblCellMar>
        </w:tblPrEx>
        <w:trPr>
          <w:trHeight w:val="475" w:hRule="atLeast"/>
        </w:trPr>
        <w:tc>
          <w:tcPr>
            <w:tcW w:w="15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r>
      <w:tr>
        <w:tblPrEx>
          <w:tblCellMar>
            <w:top w:w="0" w:type="dxa"/>
            <w:left w:w="108" w:type="dxa"/>
            <w:bottom w:w="0" w:type="dxa"/>
            <w:right w:w="108" w:type="dxa"/>
          </w:tblCellMar>
        </w:tblPrEx>
        <w:trPr>
          <w:trHeight w:val="475" w:hRule="atLeast"/>
        </w:trPr>
        <w:tc>
          <w:tcPr>
            <w:tcW w:w="707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30"/>
                <w:szCs w:val="30"/>
              </w:rPr>
            </w:pPr>
            <w:r>
              <w:rPr>
                <w:rFonts w:hint="eastAsia" w:ascii="仿宋" w:hAnsi="仿宋" w:eastAsia="仿宋" w:cs="仿宋"/>
                <w:color w:val="000000"/>
                <w:sz w:val="30"/>
                <w:szCs w:val="30"/>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kern w:val="0"/>
                <w:sz w:val="30"/>
                <w:szCs w:val="30"/>
              </w:rPr>
            </w:pPr>
          </w:p>
        </w:tc>
      </w:tr>
    </w:tbl>
    <w:p>
      <w:pPr>
        <w:pStyle w:val="18"/>
        <w:spacing w:before="120" w:beforeAutospacing="0" w:after="120" w:afterAutospacing="0" w:line="240" w:lineRule="atLeast"/>
        <w:ind w:firstLine="567"/>
        <w:jc w:val="center"/>
        <w:outlineLvl w:val="0"/>
        <w:rPr>
          <w:b/>
          <w:bCs/>
          <w:sz w:val="32"/>
          <w:szCs w:val="20"/>
        </w:rPr>
      </w:pPr>
    </w:p>
    <w:p>
      <w:pPr>
        <w:pStyle w:val="18"/>
        <w:spacing w:before="120" w:beforeAutospacing="0" w:after="120" w:afterAutospacing="0" w:line="240" w:lineRule="atLeast"/>
        <w:ind w:firstLine="567"/>
        <w:jc w:val="center"/>
        <w:outlineLvl w:val="0"/>
        <w:rPr>
          <w:b/>
          <w:bCs/>
          <w:color w:val="000000"/>
          <w:sz w:val="32"/>
          <w:szCs w:val="32"/>
        </w:rPr>
      </w:pPr>
    </w:p>
    <w:p>
      <w:pPr>
        <w:rPr>
          <w:rFonts w:ascii="宋体" w:hAnsi="宋体" w:cs="宋体"/>
          <w:b/>
          <w:bCs/>
          <w:color w:val="000000"/>
          <w:sz w:val="32"/>
          <w:szCs w:val="32"/>
        </w:rPr>
      </w:pPr>
      <w:r>
        <w:rPr>
          <w:rFonts w:hint="eastAsia" w:ascii="宋体" w:hAnsi="宋体" w:cs="宋体"/>
          <w:b/>
          <w:bCs/>
          <w:color w:val="000000"/>
          <w:sz w:val="32"/>
          <w:szCs w:val="32"/>
        </w:rPr>
        <w:br w:type="page"/>
      </w:r>
    </w:p>
    <w:p>
      <w:pPr>
        <w:pStyle w:val="18"/>
        <w:spacing w:before="120" w:beforeAutospacing="0" w:after="120" w:afterAutospacing="0" w:line="240" w:lineRule="atLeast"/>
        <w:ind w:firstLine="567"/>
        <w:jc w:val="center"/>
        <w:outlineLvl w:val="0"/>
        <w:rPr>
          <w:b/>
          <w:bCs/>
          <w:color w:val="000000"/>
          <w:sz w:val="32"/>
          <w:szCs w:val="32"/>
        </w:rPr>
      </w:pPr>
    </w:p>
    <w:p>
      <w:pPr>
        <w:pStyle w:val="18"/>
        <w:spacing w:before="120" w:beforeAutospacing="0" w:after="120" w:afterAutospacing="0" w:line="240" w:lineRule="atLeast"/>
        <w:ind w:firstLine="567"/>
        <w:jc w:val="center"/>
        <w:outlineLvl w:val="0"/>
        <w:rPr>
          <w:rFonts w:hint="eastAsia" w:eastAsia="宋体"/>
          <w:b/>
          <w:bCs/>
          <w:color w:val="000000"/>
          <w:sz w:val="32"/>
          <w:szCs w:val="32"/>
          <w:lang w:eastAsia="zh-CN"/>
        </w:rPr>
      </w:pPr>
      <w:r>
        <w:rPr>
          <w:rFonts w:hint="eastAsia"/>
          <w:b/>
          <w:bCs/>
          <w:color w:val="000000"/>
          <w:sz w:val="32"/>
          <w:szCs w:val="32"/>
        </w:rPr>
        <w:t>四、法定代表人身份证明</w:t>
      </w:r>
      <w:bookmarkEnd w:id="2"/>
      <w:r>
        <w:rPr>
          <w:rFonts w:hint="eastAsia"/>
          <w:b/>
          <w:bCs/>
          <w:color w:val="000000"/>
          <w:sz w:val="32"/>
          <w:szCs w:val="32"/>
          <w:lang w:eastAsia="zh-CN"/>
        </w:rPr>
        <w:t>书</w:t>
      </w:r>
    </w:p>
    <w:p>
      <w:pPr>
        <w:pStyle w:val="18"/>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pPr>
        <w:pStyle w:val="18"/>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pPr>
        <w:pStyle w:val="18"/>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8"/>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8"/>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8"/>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8"/>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8"/>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pPr>
        <w:pStyle w:val="18"/>
        <w:spacing w:line="206" w:lineRule="atLeast"/>
        <w:ind w:firstLine="567"/>
        <w:jc w:val="both"/>
        <w:rPr>
          <w:color w:val="000000"/>
          <w:sz w:val="28"/>
          <w:szCs w:val="28"/>
        </w:rPr>
      </w:pPr>
      <w:r>
        <w:rPr>
          <w:rFonts w:hint="eastAsia"/>
          <w:color w:val="000000"/>
          <w:sz w:val="28"/>
          <w:szCs w:val="28"/>
        </w:rPr>
        <w:t>特此证明。</w:t>
      </w:r>
    </w:p>
    <w:p>
      <w:pPr>
        <w:pStyle w:val="18"/>
        <w:spacing w:line="206" w:lineRule="atLeast"/>
        <w:ind w:firstLine="567"/>
        <w:jc w:val="both"/>
        <w:rPr>
          <w:color w:val="000000"/>
          <w:sz w:val="28"/>
          <w:szCs w:val="28"/>
        </w:rPr>
      </w:pPr>
    </w:p>
    <w:p>
      <w:pPr>
        <w:pStyle w:val="18"/>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pPr>
        <w:pStyle w:val="18"/>
        <w:spacing w:line="206" w:lineRule="atLeast"/>
        <w:ind w:firstLine="567"/>
        <w:jc w:val="center"/>
        <w:rPr>
          <w:color w:val="000000"/>
          <w:sz w:val="28"/>
          <w:szCs w:val="28"/>
        </w:rPr>
      </w:pPr>
    </w:p>
    <w:p>
      <w:pPr>
        <w:pStyle w:val="18"/>
        <w:spacing w:line="206" w:lineRule="atLeast"/>
        <w:ind w:firstLine="567"/>
        <w:jc w:val="center"/>
        <w:rPr>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pStyle w:val="18"/>
        <w:spacing w:line="206" w:lineRule="atLeast"/>
        <w:ind w:firstLine="567"/>
        <w:jc w:val="center"/>
        <w:rPr>
          <w:color w:val="000000"/>
          <w:sz w:val="28"/>
          <w:szCs w:val="28"/>
          <w:u w:val="single"/>
        </w:rPr>
      </w:pPr>
    </w:p>
    <w:p>
      <w:pPr>
        <w:pStyle w:val="2"/>
        <w:numPr>
          <w:ilvl w:val="0"/>
          <w:numId w:val="0"/>
        </w:numPr>
        <w:spacing w:before="240" w:after="60"/>
        <w:jc w:val="center"/>
        <w:rPr>
          <w:rFonts w:hint="default" w:cs="宋体"/>
          <w:sz w:val="32"/>
          <w:szCs w:val="32"/>
        </w:rPr>
      </w:pPr>
      <w:bookmarkStart w:id="3" w:name="_Toc10458"/>
      <w:r>
        <w:rPr>
          <w:rFonts w:cs="宋体"/>
          <w:sz w:val="32"/>
          <w:szCs w:val="32"/>
        </w:rPr>
        <w:t>五、</w:t>
      </w:r>
      <w:r>
        <w:rPr>
          <w:rFonts w:hint="eastAsia" w:cs="宋体"/>
          <w:sz w:val="32"/>
          <w:szCs w:val="32"/>
        </w:rPr>
        <w:t>法定代表人</w:t>
      </w:r>
      <w:r>
        <w:rPr>
          <w:rFonts w:cs="宋体"/>
          <w:sz w:val="32"/>
          <w:szCs w:val="32"/>
        </w:rPr>
        <w:t>授权委托书</w:t>
      </w:r>
      <w:bookmarkEnd w:id="3"/>
    </w:p>
    <w:p>
      <w:pPr>
        <w:pStyle w:val="18"/>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color w:val="000000"/>
          <w:sz w:val="28"/>
          <w:szCs w:val="28"/>
          <w:u w:val="single"/>
        </w:rPr>
        <w:t xml:space="preserve">                   </w:t>
      </w:r>
      <w:r>
        <w:rPr>
          <w:rFonts w:hint="eastAsia"/>
          <w:color w:val="000000"/>
          <w:sz w:val="28"/>
          <w:szCs w:val="28"/>
        </w:rPr>
        <w:t>（项目名称）</w:t>
      </w:r>
      <w:r>
        <w:rPr>
          <w:rFonts w:hint="eastAsia"/>
          <w:color w:val="000000"/>
          <w:sz w:val="28"/>
          <w:szCs w:val="28"/>
          <w:u w:val="single"/>
        </w:rPr>
        <w:t xml:space="preserve">                                  </w:t>
      </w:r>
      <w:r>
        <w:rPr>
          <w:rFonts w:hint="eastAsia"/>
          <w:color w:val="000000"/>
          <w:sz w:val="28"/>
          <w:szCs w:val="28"/>
        </w:rPr>
        <w:t>标段施工投标文件、签订合同和处理有关事宜，其法律后果由我方承担。</w:t>
      </w:r>
    </w:p>
    <w:p>
      <w:pPr>
        <w:pStyle w:val="18"/>
        <w:spacing w:line="206" w:lineRule="atLeast"/>
        <w:ind w:firstLine="1260"/>
        <w:jc w:val="both"/>
        <w:rPr>
          <w:color w:val="000000"/>
          <w:sz w:val="28"/>
          <w:szCs w:val="28"/>
        </w:rPr>
      </w:pPr>
      <w:r>
        <w:rPr>
          <w:rFonts w:hint="eastAsia"/>
          <w:color w:val="000000"/>
          <w:sz w:val="28"/>
          <w:szCs w:val="28"/>
        </w:rPr>
        <w:t>委托期限：</w:t>
      </w:r>
    </w:p>
    <w:p>
      <w:pPr>
        <w:pStyle w:val="18"/>
        <w:spacing w:line="206" w:lineRule="atLeast"/>
        <w:ind w:firstLine="567"/>
        <w:jc w:val="both"/>
        <w:rPr>
          <w:color w:val="000000"/>
          <w:sz w:val="28"/>
          <w:szCs w:val="28"/>
        </w:rPr>
      </w:pPr>
      <w:r>
        <w:rPr>
          <w:rFonts w:hint="eastAsia"/>
          <w:color w:val="000000"/>
          <w:sz w:val="28"/>
          <w:szCs w:val="28"/>
        </w:rPr>
        <w:t>代理人无转委托权。</w:t>
      </w:r>
    </w:p>
    <w:p>
      <w:pPr>
        <w:pStyle w:val="18"/>
        <w:spacing w:line="206" w:lineRule="atLeast"/>
        <w:ind w:firstLine="567"/>
        <w:jc w:val="both"/>
        <w:rPr>
          <w:color w:val="000000"/>
          <w:sz w:val="28"/>
          <w:szCs w:val="28"/>
        </w:rPr>
      </w:pPr>
      <w:r>
        <w:rPr>
          <w:rFonts w:hint="eastAsia"/>
          <w:color w:val="000000"/>
          <w:sz w:val="28"/>
          <w:szCs w:val="28"/>
        </w:rPr>
        <w:t>附：法定代表人身份证明</w:t>
      </w:r>
    </w:p>
    <w:p>
      <w:pPr>
        <w:pStyle w:val="18"/>
        <w:spacing w:line="206" w:lineRule="atLeast"/>
        <w:ind w:firstLine="1400" w:firstLineChars="500"/>
        <w:jc w:val="right"/>
        <w:rPr>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pPr>
        <w:pStyle w:val="18"/>
        <w:spacing w:line="206" w:lineRule="atLeast"/>
        <w:ind w:firstLine="1400" w:firstLineChars="500"/>
        <w:jc w:val="right"/>
        <w:rPr>
          <w:color w:val="000000"/>
          <w:sz w:val="28"/>
          <w:szCs w:val="28"/>
        </w:rPr>
      </w:pPr>
      <w:r>
        <w:rPr>
          <w:rFonts w:hint="eastAsia"/>
          <w:color w:val="000000"/>
          <w:sz w:val="28"/>
          <w:szCs w:val="28"/>
          <w:lang w:val="en-US" w:eastAsia="zh-CN"/>
        </w:rPr>
        <w:t xml:space="preserve">  </w:t>
      </w:r>
      <w:r>
        <w:rPr>
          <w:rFonts w:hint="eastAsia"/>
          <w:color w:val="000000"/>
          <w:sz w:val="28"/>
          <w:szCs w:val="28"/>
        </w:rPr>
        <w:t>法定代表人：</w:t>
      </w:r>
      <w:r>
        <w:rPr>
          <w:rFonts w:hint="eastAsia"/>
          <w:color w:val="000000"/>
          <w:sz w:val="28"/>
          <w:szCs w:val="28"/>
          <w:u w:val="single"/>
        </w:rPr>
        <w:t xml:space="preserve">                    </w:t>
      </w:r>
      <w:r>
        <w:rPr>
          <w:rFonts w:hint="eastAsia"/>
          <w:color w:val="000000"/>
          <w:sz w:val="28"/>
          <w:szCs w:val="28"/>
        </w:rPr>
        <w:t>（签字）</w:t>
      </w:r>
    </w:p>
    <w:p>
      <w:pPr>
        <w:pStyle w:val="18"/>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pPr>
        <w:pStyle w:val="18"/>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pPr>
        <w:pStyle w:val="18"/>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pStyle w:val="18"/>
        <w:spacing w:line="206" w:lineRule="atLeast"/>
        <w:ind w:firstLine="2800" w:firstLineChars="1000"/>
        <w:jc w:val="both"/>
        <w:rPr>
          <w:color w:val="000000"/>
          <w:sz w:val="28"/>
          <w:szCs w:val="28"/>
        </w:rPr>
      </w:pPr>
      <w:r>
        <w:rPr>
          <w:rFonts w:hint="eastAsia"/>
          <w:color w:val="000000"/>
          <w:sz w:val="28"/>
          <w:szCs w:val="28"/>
        </w:rPr>
        <w:t xml:space="preserve">日    </w:t>
      </w:r>
      <w:r>
        <w:rPr>
          <w:rFonts w:hint="eastAsia"/>
          <w:color w:val="000000"/>
          <w:sz w:val="28"/>
          <w:szCs w:val="28"/>
          <w:lang w:val="en-US" w:eastAsia="zh-CN"/>
        </w:rPr>
        <w:t xml:space="preserve"> </w:t>
      </w:r>
      <w:r>
        <w:rPr>
          <w:rFonts w:hint="eastAsia"/>
          <w:color w:val="000000"/>
          <w:sz w:val="28"/>
          <w:szCs w:val="28"/>
        </w:rPr>
        <w:t xml:space="preserve"> 期：</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pStyle w:val="18"/>
        <w:spacing w:line="100" w:lineRule="atLeast"/>
        <w:ind w:firstLine="567"/>
        <w:jc w:val="both"/>
        <w:rPr>
          <w:color w:val="000000"/>
        </w:rPr>
      </w:pPr>
    </w:p>
    <w:p>
      <w:pPr>
        <w:pStyle w:val="2"/>
        <w:numPr>
          <w:ilvl w:val="0"/>
          <w:numId w:val="0"/>
        </w:numPr>
        <w:bidi w:val="0"/>
        <w:ind w:leftChars="0"/>
        <w:rPr>
          <w:rFonts w:hint="eastAsia"/>
          <w:lang w:val="en-US" w:eastAsia="zh-CN"/>
        </w:rPr>
      </w:pPr>
      <w:bookmarkStart w:id="4" w:name="_Toc28085"/>
      <w:bookmarkStart w:id="5" w:name="_Toc18040"/>
    </w:p>
    <w:p>
      <w:pPr>
        <w:pStyle w:val="2"/>
        <w:numPr>
          <w:ilvl w:val="0"/>
          <w:numId w:val="0"/>
        </w:numPr>
        <w:spacing w:before="240" w:after="60"/>
        <w:jc w:val="center"/>
        <w:rPr>
          <w:rFonts w:ascii="宋体" w:hAnsi="宋体" w:eastAsia="宋体" w:cs="宋体"/>
          <w:sz w:val="32"/>
          <w:szCs w:val="32"/>
        </w:rPr>
      </w:pPr>
      <w:r>
        <w:rPr>
          <w:rFonts w:hint="eastAsia" w:ascii="宋体" w:hAnsi="宋体" w:eastAsia="宋体" w:cs="宋体"/>
          <w:sz w:val="32"/>
          <w:szCs w:val="32"/>
          <w:lang w:val="en-US" w:eastAsia="zh-CN"/>
        </w:rPr>
        <w:t>六、</w:t>
      </w:r>
      <w:r>
        <w:rPr>
          <w:rFonts w:hint="eastAsia" w:ascii="宋体" w:hAnsi="宋体" w:eastAsia="宋体" w:cs="宋体"/>
          <w:sz w:val="32"/>
          <w:szCs w:val="32"/>
        </w:rPr>
        <w:t>资格审查资料</w:t>
      </w:r>
    </w:p>
    <w:p>
      <w:pPr>
        <w:pStyle w:val="12"/>
        <w:numPr>
          <w:ilvl w:val="0"/>
          <w:numId w:val="5"/>
        </w:numPr>
        <w:ind w:left="-300" w:firstLine="0"/>
        <w:jc w:val="center"/>
        <w:outlineLvl w:val="2"/>
        <w:rPr>
          <w:rFonts w:ascii="宋体" w:hAnsi="宋体" w:eastAsia="宋体" w:cs="宋体"/>
          <w:szCs w:val="24"/>
        </w:rPr>
      </w:pPr>
      <w:r>
        <w:rPr>
          <w:rFonts w:hint="eastAsia" w:ascii="宋体" w:hAnsi="宋体" w:eastAsia="宋体" w:cs="宋体"/>
          <w:b/>
          <w:bCs/>
          <w:szCs w:val="24"/>
        </w:rPr>
        <w:t>投标供应商基本情况表</w:t>
      </w:r>
      <w:bookmarkEnd w:id="4"/>
    </w:p>
    <w:tbl>
      <w:tblPr>
        <w:tblStyle w:val="20"/>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hint="eastAsia" w:ascii="宋体" w:hAnsi="宋体" w:eastAsia="宋体" w:cs="宋体"/>
              </w:rPr>
            </w:pPr>
            <w:r>
              <w:rPr>
                <w:rFonts w:hint="eastAsia" w:ascii="宋体" w:hAnsi="宋体" w:eastAsia="宋体" w:cs="宋体"/>
              </w:rPr>
              <w:t>投标供应商</w:t>
            </w:r>
          </w:p>
          <w:p>
            <w:pPr>
              <w:jc w:val="center"/>
              <w:textAlignment w:val="center"/>
              <w:rPr>
                <w:rFonts w:ascii="宋体" w:hAnsi="宋体" w:eastAsia="宋体" w:cs="宋体"/>
              </w:rPr>
            </w:pPr>
            <w:r>
              <w:rPr>
                <w:rFonts w:hint="eastAsia" w:ascii="宋体" w:hAnsi="宋体" w:eastAsia="宋体" w:cs="宋体"/>
              </w:rPr>
              <w:t>名称</w:t>
            </w:r>
          </w:p>
        </w:tc>
        <w:tc>
          <w:tcPr>
            <w:tcW w:w="7846"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注册地址</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邮政编码</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联系方式</w:t>
            </w: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联系人</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pPr>
              <w:jc w:val="center"/>
              <w:rPr>
                <w:rFonts w:ascii="宋体" w:hAnsi="宋体" w:eastAsia="宋体" w:cs="宋体"/>
              </w:rPr>
            </w:pP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传真</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网址</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组织结构</w:t>
            </w:r>
          </w:p>
        </w:tc>
        <w:tc>
          <w:tcPr>
            <w:tcW w:w="7846"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法定代表人</w:t>
            </w: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834" w:type="dxa"/>
            <w:tcBorders>
              <w:tl2br w:val="nil"/>
              <w:tr2bl w:val="nil"/>
            </w:tcBorders>
            <w:noWrap/>
            <w:vAlign w:val="center"/>
          </w:tcPr>
          <w:p>
            <w:pPr>
              <w:jc w:val="center"/>
              <w:rPr>
                <w:rFonts w:ascii="宋体" w:hAnsi="宋体" w:eastAsia="宋体" w:cs="宋体"/>
              </w:rPr>
            </w:pPr>
          </w:p>
        </w:tc>
        <w:tc>
          <w:tcPr>
            <w:tcW w:w="8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679"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rPr>
                <w:rFonts w:ascii="宋体" w:hAnsi="宋体" w:eastAsia="宋体" w:cs="宋体"/>
              </w:rPr>
            </w:pPr>
            <w:r>
              <w:rPr>
                <w:rFonts w:hint="eastAsia" w:ascii="宋体" w:hAnsi="宋体" w:eastAsia="宋体" w:cs="宋体"/>
              </w:rPr>
              <w:t>技术负责人</w:t>
            </w: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834" w:type="dxa"/>
            <w:tcBorders>
              <w:tl2br w:val="nil"/>
              <w:tr2bl w:val="nil"/>
            </w:tcBorders>
            <w:noWrap/>
            <w:vAlign w:val="center"/>
          </w:tcPr>
          <w:p>
            <w:pPr>
              <w:jc w:val="center"/>
              <w:rPr>
                <w:rFonts w:ascii="宋体" w:hAnsi="宋体" w:eastAsia="宋体" w:cs="宋体"/>
              </w:rPr>
            </w:pPr>
          </w:p>
        </w:tc>
        <w:tc>
          <w:tcPr>
            <w:tcW w:w="8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679"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成立时间</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员工人数</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企业资质等级</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其中</w:t>
            </w: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项目经理</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营业执照号</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高级职称人员</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注册资金</w:t>
            </w:r>
          </w:p>
        </w:tc>
        <w:tc>
          <w:tcPr>
            <w:tcW w:w="2183" w:type="dxa"/>
            <w:gridSpan w:val="2"/>
            <w:tcBorders>
              <w:tl2br w:val="nil"/>
              <w:tr2bl w:val="nil"/>
            </w:tcBorders>
            <w:noWrap/>
            <w:vAlign w:val="center"/>
          </w:tcPr>
          <w:p>
            <w:pPr>
              <w:jc w:val="left"/>
              <w:textAlignment w:val="center"/>
              <w:rPr>
                <w:rFonts w:ascii="宋体" w:hAnsi="宋体" w:eastAsia="宋体" w:cs="宋体"/>
              </w:rPr>
            </w:pPr>
            <w:r>
              <w:rPr>
                <w:rFonts w:hint="eastAsia" w:ascii="宋体" w:hAnsi="宋体" w:eastAsia="宋体" w:cs="宋体"/>
              </w:rPr>
              <w:t>（万元）</w:t>
            </w: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中级职称人员</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开户银行</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初级职称人员</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账号</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技工</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经营范围</w:t>
            </w:r>
          </w:p>
        </w:tc>
        <w:tc>
          <w:tcPr>
            <w:tcW w:w="7846"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备注</w:t>
            </w:r>
          </w:p>
        </w:tc>
        <w:tc>
          <w:tcPr>
            <w:tcW w:w="7846" w:type="dxa"/>
            <w:gridSpan w:val="6"/>
            <w:tcBorders>
              <w:tl2br w:val="nil"/>
              <w:tr2bl w:val="nil"/>
            </w:tcBorders>
            <w:noWrap/>
            <w:vAlign w:val="center"/>
          </w:tcPr>
          <w:p>
            <w:pPr>
              <w:jc w:val="center"/>
              <w:rPr>
                <w:rFonts w:ascii="宋体" w:hAnsi="宋体" w:eastAsia="宋体" w:cs="宋体"/>
              </w:rPr>
            </w:pPr>
          </w:p>
        </w:tc>
      </w:tr>
    </w:tbl>
    <w:p>
      <w:pPr>
        <w:pStyle w:val="12"/>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1.本表后应附资质要求对应的相关证明材料复印件；2.无响应指标的应写明无。</w:t>
      </w:r>
    </w:p>
    <w:p>
      <w:pPr>
        <w:ind w:left="2970"/>
        <w:rPr>
          <w:rFonts w:ascii="宋体" w:hAnsi="宋体" w:eastAsia="宋体" w:cs="宋体"/>
          <w:b/>
          <w:bCs/>
        </w:rPr>
      </w:pPr>
    </w:p>
    <w:p>
      <w:pPr>
        <w:pStyle w:val="25"/>
        <w:rPr>
          <w:rFonts w:ascii="宋体" w:hAnsi="宋体" w:eastAsia="宋体" w:cs="宋体"/>
          <w:b/>
          <w:bCs/>
        </w:rPr>
      </w:pPr>
    </w:p>
    <w:p>
      <w:pPr>
        <w:pStyle w:val="25"/>
        <w:rPr>
          <w:rFonts w:ascii="宋体" w:hAnsi="宋体" w:eastAsia="宋体" w:cs="宋体"/>
          <w:b/>
          <w:bCs/>
        </w:rPr>
      </w:pPr>
    </w:p>
    <w:p>
      <w:pPr>
        <w:pStyle w:val="25"/>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widowControl/>
        <w:outlineLvl w:val="3"/>
        <w:rPr>
          <w:rFonts w:ascii="宋体" w:hAnsi="宋体" w:eastAsia="宋体" w:cs="宋体"/>
          <w:b/>
          <w:bCs/>
          <w:color w:val="000000"/>
          <w:kern w:val="0"/>
          <w:sz w:val="32"/>
          <w:szCs w:val="32"/>
          <w:lang w:bidi="ar"/>
        </w:rPr>
      </w:pPr>
      <w:bookmarkStart w:id="6" w:name="_Toc15698"/>
      <w:r>
        <w:rPr>
          <w:rFonts w:hint="eastAsia" w:ascii="宋体" w:hAnsi="宋体" w:eastAsia="宋体" w:cs="宋体"/>
          <w:b/>
          <w:bCs/>
          <w:color w:val="000000"/>
          <w:kern w:val="0"/>
          <w:sz w:val="32"/>
          <w:szCs w:val="32"/>
          <w:lang w:bidi="ar"/>
        </w:rPr>
        <w:t>附：</w:t>
      </w:r>
    </w:p>
    <w:p>
      <w:pPr>
        <w:widowControl/>
        <w:numPr>
          <w:ilvl w:val="0"/>
          <w:numId w:val="6"/>
        </w:numPr>
        <w:jc w:val="center"/>
        <w:outlineLvl w:val="4"/>
        <w:rPr>
          <w:rFonts w:ascii="宋体" w:hAnsi="宋体" w:eastAsia="宋体" w:cs="宋体"/>
          <w:b/>
          <w:bCs/>
          <w:sz w:val="32"/>
          <w:szCs w:val="32"/>
        </w:rPr>
      </w:pPr>
      <w:r>
        <w:rPr>
          <w:rFonts w:hint="eastAsia" w:ascii="宋体" w:hAnsi="宋体" w:eastAsia="宋体" w:cs="宋体"/>
          <w:b/>
          <w:bCs/>
          <w:color w:val="000000"/>
          <w:kern w:val="0"/>
          <w:sz w:val="32"/>
          <w:szCs w:val="32"/>
          <w:lang w:bidi="ar"/>
        </w:rPr>
        <w:t>独立承担民事责任的能力</w:t>
      </w:r>
      <w:bookmarkEnd w:id="6"/>
    </w:p>
    <w:p>
      <w:pPr>
        <w:pStyle w:val="25"/>
        <w:rPr>
          <w:rFonts w:ascii="宋体" w:hAnsi="宋体" w:eastAsia="宋体" w:cs="宋体"/>
        </w:rPr>
      </w:pPr>
    </w:p>
    <w:p>
      <w:pPr>
        <w:pStyle w:val="25"/>
        <w:ind w:firstLine="280" w:firstLineChars="100"/>
        <w:rPr>
          <w:rFonts w:ascii="宋体" w:hAnsi="宋体" w:eastAsia="宋体" w:cs="宋体"/>
          <w:sz w:val="28"/>
          <w:szCs w:val="28"/>
        </w:rPr>
      </w:pPr>
      <w:r>
        <w:rPr>
          <w:rFonts w:hint="eastAsia" w:ascii="宋体" w:hAnsi="宋体" w:eastAsia="宋体" w:cs="宋体"/>
          <w:sz w:val="28"/>
          <w:szCs w:val="28"/>
        </w:rPr>
        <w:t>营业执照加盖公章</w:t>
      </w:r>
    </w:p>
    <w:p>
      <w:pPr>
        <w:numPr>
          <w:ilvl w:val="0"/>
          <w:numId w:val="6"/>
        </w:numPr>
        <w:tabs>
          <w:tab w:val="left" w:pos="462"/>
        </w:tabs>
        <w:jc w:val="center"/>
        <w:rPr>
          <w:rFonts w:ascii="宋体" w:hAnsi="宋体" w:eastAsia="宋体" w:cs="宋体"/>
          <w:b/>
          <w:bCs/>
        </w:rPr>
        <w:sectPr>
          <w:pgSz w:w="11906" w:h="16838"/>
          <w:pgMar w:top="1100" w:right="1800" w:bottom="1157" w:left="1800" w:header="851" w:footer="992" w:gutter="0"/>
          <w:cols w:space="425" w:num="1"/>
          <w:docGrid w:type="lines" w:linePitch="312" w:charSpace="0"/>
        </w:sectPr>
      </w:pPr>
      <w:r>
        <w:rPr>
          <w:rFonts w:hint="eastAsia" w:ascii="宋体" w:hAnsi="宋体" w:eastAsia="宋体" w:cs="宋体"/>
          <w:b/>
          <w:bCs/>
        </w:rPr>
        <w:br w:type="page"/>
      </w:r>
    </w:p>
    <w:p>
      <w:pPr>
        <w:pStyle w:val="24"/>
      </w:pPr>
    </w:p>
    <w:p>
      <w:pPr>
        <w:widowControl/>
        <w:jc w:val="center"/>
        <w:outlineLvl w:val="4"/>
        <w:rPr>
          <w:rFonts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bidi="ar"/>
        </w:rPr>
        <w:t>（2) 资格承诺函</w:t>
      </w:r>
    </w:p>
    <w:p>
      <w:pPr>
        <w:spacing w:line="560" w:lineRule="exact"/>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丹阳市人民医院</w:t>
      </w:r>
    </w:p>
    <w:p>
      <w:pPr>
        <w:spacing w:line="580" w:lineRule="exact"/>
        <w:ind w:firstLine="620"/>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4"/>
      </w:pPr>
    </w:p>
    <w:p>
      <w:pPr>
        <w:spacing w:line="520" w:lineRule="exact"/>
        <w:ind w:firstLine="940"/>
        <w:rPr>
          <w:rFonts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4"/>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25"/>
        <w:ind w:firstLine="0"/>
        <w:rPr>
          <w:rFonts w:ascii="宋体" w:hAnsi="宋体" w:eastAsia="宋体" w:cs="宋体"/>
        </w:rPr>
      </w:pPr>
    </w:p>
    <w:p>
      <w:pPr>
        <w:pStyle w:val="25"/>
        <w:ind w:firstLine="0"/>
        <w:rPr>
          <w:rFonts w:ascii="宋体" w:hAnsi="宋体" w:eastAsia="宋体" w:cs="宋体"/>
        </w:rPr>
      </w:pPr>
    </w:p>
    <w:p>
      <w:pPr>
        <w:pStyle w:val="25"/>
        <w:ind w:firstLine="0"/>
        <w:rPr>
          <w:rFonts w:ascii="宋体" w:hAnsi="宋体" w:eastAsia="宋体" w:cs="宋体"/>
        </w:rPr>
      </w:pPr>
    </w:p>
    <w:p>
      <w:pPr>
        <w:pStyle w:val="25"/>
        <w:spacing w:line="240" w:lineRule="auto"/>
        <w:ind w:firstLine="0"/>
        <w:rPr>
          <w:rFonts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ascii="宋体" w:hAnsi="宋体" w:eastAsia="宋体"/>
          <w:color w:val="000000"/>
        </w:rPr>
        <w:t>说明：1．供应商可自行选择是否提供本承诺函，若不提供本承诺函的，应按采购文件要求提供相应的证明材料。</w:t>
      </w:r>
    </w:p>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textAlignment w:val="auto"/>
        <w:rPr>
          <w:rFonts w:ascii="宋体" w:hAnsi="宋体" w:eastAsia="宋体" w:cs="宋体"/>
        </w:rPr>
      </w:pPr>
      <w:r>
        <w:rPr>
          <w:rFonts w:hint="eastAsia" w:ascii="宋体" w:hAnsi="宋体" w:eastAsia="宋体"/>
          <w:color w:val="000000"/>
        </w:rPr>
        <w:t>2．供应商可删减承诺事项，删减的承诺事项须按采购文件要求提供相应的证明材料。比如删去本承诺函第3项的，则应按采购文件要求提供依法缴纳税收和社会保障资金的良好记录。</w:t>
      </w:r>
    </w:p>
    <w:p>
      <w:pPr>
        <w:rPr>
          <w:rFonts w:ascii="宋体" w:hAnsi="宋体" w:eastAsia="宋体" w:cs="宋体"/>
        </w:rPr>
      </w:pPr>
      <w:r>
        <w:rPr>
          <w:rFonts w:ascii="宋体" w:hAnsi="宋体" w:eastAsia="宋体" w:cs="宋体"/>
        </w:rPr>
        <w:br w:type="page"/>
      </w:r>
    </w:p>
    <w:p>
      <w:pPr>
        <w:widowControl/>
        <w:jc w:val="center"/>
        <w:outlineLvl w:val="4"/>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（3）本项目的特定资格要求</w:t>
      </w:r>
    </w:p>
    <w:p>
      <w:pPr>
        <w:pStyle w:val="25"/>
        <w:ind w:firstLine="0"/>
        <w:rPr>
          <w:rFonts w:ascii="宋体" w:hAnsi="宋体" w:eastAsia="宋体" w:cs="宋体"/>
        </w:rPr>
      </w:pPr>
    </w:p>
    <w:p>
      <w:pPr>
        <w:pStyle w:val="25"/>
        <w:ind w:firstLine="0"/>
        <w:rPr>
          <w:rFonts w:ascii="宋体" w:hAnsi="宋体" w:eastAsia="宋体" w:cs="宋体"/>
        </w:rPr>
      </w:pPr>
    </w:p>
    <w:p>
      <w:pPr>
        <w:pStyle w:val="25"/>
        <w:ind w:firstLine="0"/>
        <w:rPr>
          <w:rFonts w:ascii="宋体" w:hAnsi="宋体" w:eastAsia="宋体" w:cs="宋体"/>
        </w:rPr>
      </w:pPr>
    </w:p>
    <w:p>
      <w:pPr>
        <w:pStyle w:val="25"/>
        <w:ind w:firstLine="0"/>
        <w:rPr>
          <w:rFonts w:ascii="宋体" w:hAnsi="宋体" w:eastAsia="宋体" w:cs="宋体"/>
        </w:rPr>
      </w:pPr>
    </w:p>
    <w:bookmarkEnd w:id="5"/>
    <w:p>
      <w:pPr>
        <w:rPr>
          <w:rFonts w:hint="eastAsia"/>
          <w:lang w:val="en-US" w:eastAsia="zh-CN"/>
        </w:rPr>
      </w:pPr>
      <w:r>
        <w:rPr>
          <w:rFonts w:hint="eastAsia"/>
          <w:lang w:val="en-US" w:eastAsia="zh-CN"/>
        </w:rPr>
        <w:br w:type="page"/>
      </w:r>
    </w:p>
    <w:p>
      <w:pPr>
        <w:pStyle w:val="4"/>
        <w:numPr>
          <w:ilvl w:val="2"/>
          <w:numId w:val="0"/>
        </w:numPr>
        <w:ind w:leftChars="0"/>
        <w:jc w:val="center"/>
      </w:pPr>
      <w:r>
        <w:rPr>
          <w:rFonts w:hint="eastAsia"/>
          <w:lang w:val="en-US" w:eastAsia="zh-CN"/>
        </w:rPr>
        <w:t>七、运维要求</w:t>
      </w:r>
      <w:r>
        <w:rPr>
          <w:rFonts w:hint="eastAsia"/>
        </w:rPr>
        <w:t>响应偏离表</w:t>
      </w:r>
    </w:p>
    <w:p>
      <w:pPr>
        <w:pStyle w:val="15"/>
        <w:tabs>
          <w:tab w:val="left" w:pos="6300"/>
        </w:tabs>
        <w:snapToGrid w:val="0"/>
        <w:spacing w:line="312" w:lineRule="auto"/>
        <w:ind w:firstLine="480" w:firstLineChars="200"/>
        <w:rPr>
          <w:rFonts w:ascii="宋体" w:hAnsi="宋体" w:eastAsia="宋体" w:cs="宋体"/>
        </w:rPr>
      </w:pPr>
      <w:r>
        <w:rPr>
          <w:rFonts w:hint="eastAsia" w:ascii="宋体" w:hAnsi="宋体" w:eastAsia="宋体" w:cs="宋体"/>
        </w:rPr>
        <w:t>项目名称：</w:t>
      </w:r>
    </w:p>
    <w:tbl>
      <w:tblPr>
        <w:tblStyle w:val="20"/>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r>
              <w:rPr>
                <w:rFonts w:hint="eastAsia" w:ascii="宋体" w:hAnsi="宋体" w:eastAsia="宋体" w:cs="宋体"/>
              </w:rPr>
              <w:t>序号</w:t>
            </w:r>
          </w:p>
        </w:tc>
        <w:tc>
          <w:tcPr>
            <w:tcW w:w="2658" w:type="dxa"/>
            <w:vAlign w:val="center"/>
          </w:tcPr>
          <w:p>
            <w:pPr>
              <w:tabs>
                <w:tab w:val="left" w:pos="6300"/>
              </w:tabs>
              <w:snapToGrid w:val="0"/>
              <w:spacing w:line="312" w:lineRule="auto"/>
              <w:jc w:val="center"/>
              <w:outlineLvl w:val="0"/>
              <w:rPr>
                <w:rFonts w:ascii="宋体" w:hAnsi="宋体" w:eastAsia="宋体" w:cs="宋体"/>
              </w:rPr>
            </w:pPr>
            <w:r>
              <w:t>采购文件规定的</w:t>
            </w:r>
            <w:r>
              <w:rPr>
                <w:rFonts w:hint="eastAsia"/>
                <w:lang w:val="en-US" w:eastAsia="zh-CN"/>
              </w:rPr>
              <w:t>运维</w:t>
            </w:r>
            <w:r>
              <w:t>要求</w:t>
            </w:r>
          </w:p>
        </w:tc>
        <w:tc>
          <w:tcPr>
            <w:tcW w:w="2873" w:type="dxa"/>
            <w:vAlign w:val="center"/>
          </w:tcPr>
          <w:p>
            <w:pPr>
              <w:tabs>
                <w:tab w:val="left" w:pos="6300"/>
              </w:tabs>
              <w:snapToGrid w:val="0"/>
              <w:spacing w:line="312" w:lineRule="auto"/>
              <w:jc w:val="center"/>
              <w:outlineLvl w:val="0"/>
              <w:rPr>
                <w:rFonts w:ascii="宋体" w:hAnsi="宋体" w:eastAsia="宋体" w:cs="宋体"/>
              </w:rPr>
            </w:pPr>
            <w:r>
              <w:t>投标文件响应的具体内容</w:t>
            </w:r>
          </w:p>
        </w:tc>
        <w:tc>
          <w:tcPr>
            <w:tcW w:w="1509" w:type="dxa"/>
            <w:vAlign w:val="center"/>
          </w:tcPr>
          <w:p>
            <w:pPr>
              <w:tabs>
                <w:tab w:val="left" w:pos="6300"/>
              </w:tabs>
              <w:snapToGrid w:val="0"/>
              <w:spacing w:line="312" w:lineRule="auto"/>
              <w:jc w:val="center"/>
              <w:outlineLvl w:val="0"/>
              <w:rPr>
                <w:rFonts w:ascii="宋体" w:hAnsi="宋体" w:eastAsia="宋体" w:cs="宋体"/>
              </w:rPr>
            </w:pPr>
            <w:r>
              <w:t>是否偏离</w:t>
            </w:r>
          </w:p>
        </w:tc>
        <w:tc>
          <w:tcPr>
            <w:tcW w:w="1341" w:type="dxa"/>
            <w:vAlign w:val="center"/>
          </w:tcPr>
          <w:p>
            <w:pPr>
              <w:tabs>
                <w:tab w:val="left" w:pos="6300"/>
              </w:tabs>
              <w:snapToGrid w:val="0"/>
              <w:spacing w:line="312" w:lineRule="auto"/>
              <w:jc w:val="center"/>
              <w:outlineLvl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bl>
    <w:p>
      <w:pPr>
        <w:spacing w:line="312" w:lineRule="auto"/>
        <w:ind w:firstLine="600" w:firstLineChars="250"/>
        <w:rPr>
          <w:rFonts w:ascii="宋体" w:hAnsi="宋体" w:eastAsia="宋体" w:cs="宋体"/>
        </w:rPr>
      </w:pPr>
      <w:r>
        <w:rPr>
          <w:rFonts w:hint="eastAsia" w:ascii="宋体" w:hAnsi="宋体" w:eastAsia="宋体" w:cs="宋体"/>
        </w:rPr>
        <w:t>供应商：                                      法人授权代表：</w:t>
      </w:r>
    </w:p>
    <w:p>
      <w:pPr>
        <w:spacing w:line="312" w:lineRule="auto"/>
        <w:rPr>
          <w:rFonts w:ascii="宋体" w:hAnsi="宋体" w:eastAsia="宋体" w:cs="宋体"/>
        </w:rPr>
      </w:pPr>
      <w:r>
        <w:rPr>
          <w:rFonts w:hint="eastAsia" w:ascii="宋体" w:hAnsi="宋体" w:eastAsia="宋体" w:cs="宋体"/>
        </w:rPr>
        <w:t xml:space="preserve">    </w:t>
      </w:r>
    </w:p>
    <w:p>
      <w:pPr>
        <w:spacing w:line="312" w:lineRule="auto"/>
        <w:ind w:firstLine="720" w:firstLineChars="300"/>
        <w:rPr>
          <w:rFonts w:ascii="宋体" w:hAnsi="宋体" w:eastAsia="宋体" w:cs="宋体"/>
        </w:rPr>
      </w:pPr>
      <w:r>
        <w:rPr>
          <w:rFonts w:hint="eastAsia" w:ascii="宋体" w:hAnsi="宋体" w:eastAsia="宋体" w:cs="宋体"/>
        </w:rPr>
        <w:t>（供应商公章）                               （签字或盖章）</w:t>
      </w:r>
    </w:p>
    <w:p>
      <w:pPr>
        <w:tabs>
          <w:tab w:val="left" w:pos="6300"/>
        </w:tabs>
        <w:snapToGrid w:val="0"/>
        <w:spacing w:line="312" w:lineRule="auto"/>
        <w:ind w:firstLine="570"/>
        <w:rPr>
          <w:rFonts w:ascii="宋体" w:hAnsi="宋体" w:eastAsia="宋体" w:cs="宋体"/>
        </w:rPr>
      </w:pPr>
      <w:r>
        <w:rPr>
          <w:rFonts w:hint="eastAsia" w:ascii="宋体" w:hAnsi="宋体" w:eastAsia="宋体" w:cs="宋体"/>
        </w:rPr>
        <w:t xml:space="preserve">                                              年     月     日</w:t>
      </w:r>
    </w:p>
    <w:p>
      <w:pPr>
        <w:pStyle w:val="24"/>
      </w:pPr>
    </w:p>
    <w:p>
      <w:pPr>
        <w:numPr>
          <w:ilvl w:val="0"/>
          <w:numId w:val="7"/>
        </w:numPr>
        <w:ind w:firstLine="480"/>
      </w:pPr>
      <w:r>
        <w:rPr>
          <w:rFonts w:hint="eastAsia"/>
        </w:rPr>
        <w:t>“</w:t>
      </w:r>
      <w:r>
        <w:t>采购文件规定的</w:t>
      </w:r>
      <w:r>
        <w:rPr>
          <w:rFonts w:hint="eastAsia"/>
          <w:lang w:val="en-US" w:eastAsia="zh-CN"/>
        </w:rPr>
        <w:t>运维</w:t>
      </w:r>
      <w:r>
        <w:t>要求</w:t>
      </w:r>
      <w:r>
        <w:rPr>
          <w:rFonts w:hint="eastAsia"/>
        </w:rPr>
        <w:t>”</w:t>
      </w:r>
      <w:r>
        <w:t>应与招标文件中采购需求的</w:t>
      </w:r>
      <w:r>
        <w:rPr>
          <w:rFonts w:hint="eastAsia"/>
        </w:rPr>
        <w:t>“</w:t>
      </w:r>
      <w:r>
        <w:rPr>
          <w:rFonts w:hint="eastAsia"/>
          <w:lang w:val="en-US" w:eastAsia="zh-CN"/>
        </w:rPr>
        <w:t>运维</w:t>
      </w:r>
      <w:r>
        <w:t>要求</w:t>
      </w:r>
      <w:r>
        <w:rPr>
          <w:rFonts w:hint="eastAsia"/>
        </w:rPr>
        <w:t>”</w:t>
      </w:r>
      <w:r>
        <w:t>的内容保持一致。</w:t>
      </w:r>
    </w:p>
    <w:p>
      <w:pPr>
        <w:numPr>
          <w:ilvl w:val="0"/>
          <w:numId w:val="7"/>
        </w:numPr>
        <w:ind w:firstLine="480"/>
      </w:pPr>
      <w:r>
        <w:t>投标人应当如实填写上表</w:t>
      </w:r>
      <w:r>
        <w:rPr>
          <w:rFonts w:hint="eastAsia"/>
        </w:rPr>
        <w:t>“</w:t>
      </w:r>
      <w:r>
        <w:t>投标文件响应的具体内容</w:t>
      </w:r>
      <w:r>
        <w:rPr>
          <w:rFonts w:hint="eastAsia"/>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7"/>
        </w:numPr>
        <w:ind w:firstLine="480"/>
      </w:pP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pPr>
        <w:numPr>
          <w:ilvl w:val="0"/>
          <w:numId w:val="7"/>
        </w:numPr>
        <w:ind w:firstLine="480"/>
      </w:pPr>
      <w:r>
        <w:rPr>
          <w:rFonts w:hint="eastAsia"/>
        </w:rPr>
        <w:t>“</w:t>
      </w:r>
      <w:r>
        <w:t>备注</w:t>
      </w:r>
      <w:r>
        <w:rPr>
          <w:rFonts w:hint="eastAsia"/>
        </w:rPr>
        <w:t>”</w:t>
      </w:r>
      <w:r>
        <w:t>处可填写偏离情况的说明。</w:t>
      </w:r>
    </w:p>
    <w:p>
      <w:pPr>
        <w:pStyle w:val="24"/>
      </w:pPr>
    </w:p>
    <w:p>
      <w:pPr>
        <w:ind w:firstLine="480"/>
      </w:pPr>
    </w:p>
    <w:p>
      <w:pPr>
        <w:pStyle w:val="24"/>
      </w:pPr>
    </w:p>
    <w:p>
      <w:pPr>
        <w:pStyle w:val="4"/>
        <w:numPr>
          <w:ilvl w:val="2"/>
          <w:numId w:val="0"/>
        </w:numPr>
        <w:ind w:leftChars="0"/>
        <w:jc w:val="center"/>
      </w:pPr>
      <w:r>
        <w:rPr>
          <w:rFonts w:hint="eastAsia"/>
          <w:lang w:val="en-US" w:eastAsia="zh-CN"/>
        </w:rPr>
        <w:t>八、</w:t>
      </w:r>
      <w:r>
        <w:rPr>
          <w:rFonts w:hint="eastAsia"/>
        </w:rPr>
        <w:t>商务响应偏离表</w:t>
      </w:r>
    </w:p>
    <w:p>
      <w:pPr>
        <w:snapToGrid w:val="0"/>
        <w:spacing w:line="360" w:lineRule="auto"/>
        <w:ind w:firstLine="465"/>
        <w:rPr>
          <w:rFonts w:ascii="宋体" w:hAnsi="宋体" w:eastAsia="宋体" w:cs="宋体"/>
        </w:rPr>
      </w:pPr>
      <w:r>
        <w:rPr>
          <w:rFonts w:hint="eastAsia" w:ascii="宋体" w:hAnsi="宋体" w:eastAsia="宋体" w:cs="宋体"/>
        </w:rPr>
        <w:t>项目名称：</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ascii="宋体" w:hAnsi="宋体" w:eastAsia="宋体" w:cs="宋体"/>
              </w:rPr>
            </w:pPr>
            <w:r>
              <w:rPr>
                <w:rFonts w:hint="eastAsia" w:ascii="宋体" w:hAnsi="宋体" w:eastAsia="宋体" w:cs="宋体"/>
              </w:rPr>
              <w:t>序号</w:t>
            </w:r>
          </w:p>
        </w:tc>
        <w:tc>
          <w:tcPr>
            <w:tcW w:w="2400" w:type="dxa"/>
            <w:vAlign w:val="center"/>
          </w:tcPr>
          <w:p>
            <w:pPr>
              <w:tabs>
                <w:tab w:val="left" w:pos="6300"/>
              </w:tabs>
              <w:snapToGrid w:val="0"/>
              <w:spacing w:line="360" w:lineRule="auto"/>
              <w:jc w:val="center"/>
              <w:outlineLvl w:val="0"/>
              <w:rPr>
                <w:rFonts w:ascii="宋体" w:hAnsi="宋体" w:eastAsia="宋体" w:cs="宋体"/>
              </w:rPr>
            </w:pPr>
            <w:r>
              <w:t>采购文件规定的商务条件</w:t>
            </w:r>
          </w:p>
        </w:tc>
        <w:tc>
          <w:tcPr>
            <w:tcW w:w="2600" w:type="dxa"/>
            <w:vAlign w:val="center"/>
          </w:tcPr>
          <w:p>
            <w:pPr>
              <w:tabs>
                <w:tab w:val="left" w:pos="6300"/>
              </w:tabs>
              <w:snapToGrid w:val="0"/>
              <w:spacing w:line="360" w:lineRule="auto"/>
              <w:jc w:val="center"/>
              <w:outlineLvl w:val="0"/>
              <w:rPr>
                <w:rFonts w:ascii="宋体" w:hAnsi="宋体" w:eastAsia="宋体" w:cs="宋体"/>
              </w:rPr>
            </w:pPr>
            <w:r>
              <w:t>投标文件响应的具体内容</w:t>
            </w:r>
          </w:p>
        </w:tc>
        <w:tc>
          <w:tcPr>
            <w:tcW w:w="1275" w:type="dxa"/>
            <w:vAlign w:val="center"/>
          </w:tcPr>
          <w:p>
            <w:pPr>
              <w:tabs>
                <w:tab w:val="left" w:pos="6300"/>
              </w:tabs>
              <w:snapToGrid w:val="0"/>
              <w:spacing w:line="360" w:lineRule="auto"/>
              <w:jc w:val="center"/>
              <w:outlineLvl w:val="0"/>
              <w:rPr>
                <w:rFonts w:ascii="宋体" w:hAnsi="宋体" w:eastAsia="宋体" w:cs="宋体"/>
              </w:rPr>
            </w:pPr>
            <w:r>
              <w:t>是否偏离</w:t>
            </w:r>
          </w:p>
        </w:tc>
        <w:tc>
          <w:tcPr>
            <w:tcW w:w="1275" w:type="dxa"/>
            <w:vAlign w:val="center"/>
          </w:tcPr>
          <w:p>
            <w:pPr>
              <w:tabs>
                <w:tab w:val="left" w:pos="6300"/>
              </w:tabs>
              <w:snapToGrid w:val="0"/>
              <w:spacing w:line="360" w:lineRule="auto"/>
              <w:jc w:val="center"/>
              <w:outlineLvl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bl>
    <w:p>
      <w:pPr>
        <w:snapToGrid w:val="0"/>
        <w:spacing w:line="360" w:lineRule="auto"/>
        <w:ind w:firstLine="465"/>
        <w:rPr>
          <w:rFonts w:ascii="宋体" w:hAnsi="宋体" w:eastAsia="宋体" w:cs="宋体"/>
        </w:rPr>
      </w:pPr>
    </w:p>
    <w:p>
      <w:pPr>
        <w:spacing w:line="360" w:lineRule="auto"/>
        <w:ind w:firstLine="600" w:firstLineChars="250"/>
        <w:rPr>
          <w:rFonts w:ascii="宋体" w:hAnsi="宋体" w:eastAsia="宋体" w:cs="宋体"/>
        </w:rPr>
      </w:pPr>
      <w:r>
        <w:rPr>
          <w:rFonts w:hint="eastAsia" w:ascii="宋体" w:hAnsi="宋体" w:eastAsia="宋体" w:cs="宋体"/>
        </w:rPr>
        <w:t>供应商：                                      法人授权代表：</w:t>
      </w:r>
    </w:p>
    <w:p>
      <w:pPr>
        <w:spacing w:line="360" w:lineRule="auto"/>
        <w:rPr>
          <w:rFonts w:ascii="宋体" w:hAnsi="宋体" w:eastAsia="宋体" w:cs="宋体"/>
        </w:rPr>
      </w:pPr>
      <w:r>
        <w:rPr>
          <w:rFonts w:hint="eastAsia" w:ascii="宋体" w:hAnsi="宋体" w:eastAsia="宋体" w:cs="宋体"/>
        </w:rPr>
        <w:t xml:space="preserve">    </w:t>
      </w:r>
    </w:p>
    <w:p>
      <w:pPr>
        <w:spacing w:line="360" w:lineRule="auto"/>
        <w:ind w:firstLine="360" w:firstLineChars="150"/>
        <w:rPr>
          <w:rFonts w:ascii="宋体" w:hAnsi="宋体" w:eastAsia="宋体" w:cs="宋体"/>
        </w:rPr>
      </w:pPr>
      <w:r>
        <w:rPr>
          <w:rFonts w:hint="eastAsia" w:ascii="宋体" w:hAnsi="宋体" w:eastAsia="宋体" w:cs="宋体"/>
        </w:rPr>
        <w:t>（供应商公章）                                 （签字或盖章）</w:t>
      </w:r>
    </w:p>
    <w:p>
      <w:pPr>
        <w:tabs>
          <w:tab w:val="left" w:pos="6300"/>
        </w:tabs>
        <w:snapToGrid w:val="0"/>
        <w:spacing w:line="360" w:lineRule="auto"/>
        <w:ind w:firstLine="570"/>
        <w:rPr>
          <w:rFonts w:ascii="宋体" w:hAnsi="宋体" w:eastAsia="宋体" w:cs="宋体"/>
        </w:rPr>
      </w:pPr>
      <w:r>
        <w:rPr>
          <w:rFonts w:hint="eastAsia" w:ascii="宋体" w:hAnsi="宋体" w:eastAsia="宋体" w:cs="宋体"/>
        </w:rPr>
        <w:t xml:space="preserve">                                            年     月     日</w:t>
      </w:r>
    </w:p>
    <w:p>
      <w:pPr>
        <w:ind w:firstLine="480"/>
      </w:pPr>
      <w:r>
        <w:t xml:space="preserve">1. </w:t>
      </w:r>
      <w:r>
        <w:rPr>
          <w:rFonts w:hint="eastAsia"/>
        </w:rPr>
        <w:t>“</w:t>
      </w:r>
      <w:r>
        <w:t>采购文件规定的商务条件</w:t>
      </w:r>
      <w:r>
        <w:rPr>
          <w:rFonts w:hint="eastAsia"/>
        </w:rPr>
        <w:t>”</w:t>
      </w:r>
      <w:r>
        <w:t xml:space="preserve">项下填写的内容应与招标文件中采购需求的 </w:t>
      </w:r>
      <w:r>
        <w:rPr>
          <w:rFonts w:hint="eastAsia"/>
        </w:rPr>
        <w:t>“</w:t>
      </w:r>
      <w:r>
        <w:t>商务要求</w:t>
      </w:r>
      <w:r>
        <w:rPr>
          <w:rFonts w:hint="eastAsia"/>
        </w:rPr>
        <w:t>”</w:t>
      </w:r>
      <w:r>
        <w:t>的内容保持一致。</w:t>
      </w:r>
    </w:p>
    <w:p>
      <w:pPr>
        <w:ind w:firstLine="480"/>
      </w:pPr>
      <w:r>
        <w:t>2.</w:t>
      </w:r>
      <w:r>
        <w:tab/>
      </w:r>
      <w:r>
        <w:t>投标人应当如实填写上表</w:t>
      </w:r>
      <w:r>
        <w:rPr>
          <w:rFonts w:hint="eastAsia"/>
        </w:rPr>
        <w:t>“</w:t>
      </w:r>
      <w:r>
        <w:t>投标文件响应的具体内容</w:t>
      </w:r>
      <w:r>
        <w:rPr>
          <w:rFonts w:hint="eastAsia"/>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ind w:left="480"/>
      </w:pPr>
      <w:r>
        <w:rPr>
          <w:rFonts w:hint="eastAsia"/>
        </w:rPr>
        <w:t>3.</w:t>
      </w: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pPr>
        <w:ind w:left="480"/>
      </w:pPr>
      <w:r>
        <w:rPr>
          <w:rFonts w:hint="eastAsia"/>
        </w:rPr>
        <w:t>4. “</w:t>
      </w:r>
      <w:r>
        <w:t>备注</w:t>
      </w:r>
      <w:r>
        <w:rPr>
          <w:rFonts w:hint="eastAsia"/>
        </w:rPr>
        <w:t>”</w:t>
      </w:r>
      <w:r>
        <w:t>处可填写偏离情况的说明。</w:t>
      </w:r>
    </w:p>
    <w:p>
      <w:pPr>
        <w:ind w:firstLine="480"/>
      </w:pPr>
    </w:p>
    <w:p>
      <w:pPr>
        <w:rPr>
          <w:rFonts w:ascii="华文细黑" w:hAnsi="华文细黑" w:eastAsia="华文细黑" w:cs="华文细黑"/>
        </w:rPr>
      </w:pPr>
    </w:p>
    <w:p>
      <w:pPr>
        <w:pStyle w:val="2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0CC03E36"/>
    <w:multiLevelType w:val="singleLevel"/>
    <w:tmpl w:val="0CC03E36"/>
    <w:lvl w:ilvl="0" w:tentative="0">
      <w:start w:val="1"/>
      <w:numFmt w:val="decimal"/>
      <w:lvlText w:val="%1."/>
      <w:lvlJc w:val="left"/>
      <w:pPr>
        <w:tabs>
          <w:tab w:val="left" w:pos="312"/>
        </w:tabs>
      </w:pPr>
    </w:lvl>
  </w:abstractNum>
  <w:abstractNum w:abstractNumId="3">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4">
    <w:nsid w:val="2426FAA9"/>
    <w:multiLevelType w:val="singleLevel"/>
    <w:tmpl w:val="2426FAA9"/>
    <w:lvl w:ilvl="0" w:tentative="0">
      <w:start w:val="1"/>
      <w:numFmt w:val="decimal"/>
      <w:suff w:val="nothing"/>
      <w:lvlText w:val="%1）"/>
      <w:lvlJc w:val="left"/>
    </w:lvl>
  </w:abstractNum>
  <w:abstractNum w:abstractNumId="5">
    <w:nsid w:val="2D2FA54A"/>
    <w:multiLevelType w:val="singleLevel"/>
    <w:tmpl w:val="2D2FA54A"/>
    <w:lvl w:ilvl="0" w:tentative="0">
      <w:start w:val="3"/>
      <w:numFmt w:val="chineseCounting"/>
      <w:suff w:val="nothing"/>
      <w:lvlText w:val="%1、"/>
      <w:lvlJc w:val="left"/>
      <w:rPr>
        <w:rFonts w:hint="eastAsia"/>
      </w:rPr>
    </w:lvl>
  </w:abstractNum>
  <w:abstractNum w:abstractNumId="6">
    <w:nsid w:val="310FE6E0"/>
    <w:multiLevelType w:val="singleLevel"/>
    <w:tmpl w:val="310FE6E0"/>
    <w:lvl w:ilvl="0" w:tentative="0">
      <w:start w:val="1"/>
      <w:numFmt w:val="chineseCounting"/>
      <w:suff w:val="nothing"/>
      <w:lvlText w:val="（%1）"/>
      <w:lvlJc w:val="left"/>
      <w:pPr>
        <w:ind w:left="1980" w:firstLine="420"/>
      </w:pPr>
      <w:rPr>
        <w:rFonts w:hint="eastAsia"/>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E822F9"/>
    <w:rsid w:val="00F32906"/>
    <w:rsid w:val="0154230C"/>
    <w:rsid w:val="02026C31"/>
    <w:rsid w:val="04425FE9"/>
    <w:rsid w:val="044F484E"/>
    <w:rsid w:val="05F4705E"/>
    <w:rsid w:val="07885DCB"/>
    <w:rsid w:val="09294C09"/>
    <w:rsid w:val="0D3E3974"/>
    <w:rsid w:val="0D5F7C0C"/>
    <w:rsid w:val="112D72E7"/>
    <w:rsid w:val="123F4030"/>
    <w:rsid w:val="149633B3"/>
    <w:rsid w:val="14C14790"/>
    <w:rsid w:val="17166BB7"/>
    <w:rsid w:val="19A2414E"/>
    <w:rsid w:val="19CA6475"/>
    <w:rsid w:val="1B50464C"/>
    <w:rsid w:val="1B592166"/>
    <w:rsid w:val="1B803B6F"/>
    <w:rsid w:val="1E5D3CF4"/>
    <w:rsid w:val="21AB121A"/>
    <w:rsid w:val="25212EA4"/>
    <w:rsid w:val="2B1167EC"/>
    <w:rsid w:val="2B617EA5"/>
    <w:rsid w:val="2BAB28CF"/>
    <w:rsid w:val="2D51509D"/>
    <w:rsid w:val="2EBD19FE"/>
    <w:rsid w:val="309B756E"/>
    <w:rsid w:val="30D76D02"/>
    <w:rsid w:val="30F96FE4"/>
    <w:rsid w:val="32346F6E"/>
    <w:rsid w:val="33B75C8C"/>
    <w:rsid w:val="33F254D2"/>
    <w:rsid w:val="356824AE"/>
    <w:rsid w:val="35BB28DC"/>
    <w:rsid w:val="361A18E7"/>
    <w:rsid w:val="36FE4E33"/>
    <w:rsid w:val="37415068"/>
    <w:rsid w:val="3989585D"/>
    <w:rsid w:val="3A301318"/>
    <w:rsid w:val="3B11404B"/>
    <w:rsid w:val="3F0E37CA"/>
    <w:rsid w:val="3F48163C"/>
    <w:rsid w:val="40C1324F"/>
    <w:rsid w:val="418C7B4C"/>
    <w:rsid w:val="42F71016"/>
    <w:rsid w:val="43F502ED"/>
    <w:rsid w:val="44EF4B92"/>
    <w:rsid w:val="452964E4"/>
    <w:rsid w:val="45A25D72"/>
    <w:rsid w:val="47002253"/>
    <w:rsid w:val="48885E0A"/>
    <w:rsid w:val="4A967D1C"/>
    <w:rsid w:val="4AAB17C9"/>
    <w:rsid w:val="4B060DE4"/>
    <w:rsid w:val="4BA8289A"/>
    <w:rsid w:val="4C8E331F"/>
    <w:rsid w:val="4DA35DAA"/>
    <w:rsid w:val="4E324304"/>
    <w:rsid w:val="4E8F1391"/>
    <w:rsid w:val="4E960E10"/>
    <w:rsid w:val="4F912AF7"/>
    <w:rsid w:val="4FC25E01"/>
    <w:rsid w:val="4FFC645A"/>
    <w:rsid w:val="5113504C"/>
    <w:rsid w:val="52D81261"/>
    <w:rsid w:val="53C30726"/>
    <w:rsid w:val="53FB68E3"/>
    <w:rsid w:val="54674340"/>
    <w:rsid w:val="5699159A"/>
    <w:rsid w:val="57371BFB"/>
    <w:rsid w:val="584A577E"/>
    <w:rsid w:val="59705FB7"/>
    <w:rsid w:val="59A811F6"/>
    <w:rsid w:val="59F24396"/>
    <w:rsid w:val="5A0D01D8"/>
    <w:rsid w:val="5A46358F"/>
    <w:rsid w:val="5B376630"/>
    <w:rsid w:val="5B551FAD"/>
    <w:rsid w:val="5BAB74D2"/>
    <w:rsid w:val="647C797D"/>
    <w:rsid w:val="69DC2875"/>
    <w:rsid w:val="6AF91DB3"/>
    <w:rsid w:val="6B814C60"/>
    <w:rsid w:val="6D5B386F"/>
    <w:rsid w:val="712B4F99"/>
    <w:rsid w:val="71962296"/>
    <w:rsid w:val="73282E7D"/>
    <w:rsid w:val="7339289C"/>
    <w:rsid w:val="73440DCB"/>
    <w:rsid w:val="74F95B2E"/>
    <w:rsid w:val="76067755"/>
    <w:rsid w:val="767912E4"/>
    <w:rsid w:val="77035D31"/>
    <w:rsid w:val="78C21364"/>
    <w:rsid w:val="79452192"/>
    <w:rsid w:val="796678F5"/>
    <w:rsid w:val="796D14E2"/>
    <w:rsid w:val="7AED2C21"/>
    <w:rsid w:val="7B4C7DFC"/>
    <w:rsid w:val="7C064B9A"/>
    <w:rsid w:val="7D96632A"/>
    <w:rsid w:val="7F364DF4"/>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link w:val="34"/>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line="413" w:lineRule="auto"/>
      <w:outlineLvl w:val="2"/>
    </w:pPr>
    <w:rPr>
      <w:b/>
      <w:sz w:val="32"/>
    </w:rPr>
  </w:style>
  <w:style w:type="paragraph" w:styleId="5">
    <w:name w:val="heading 4"/>
    <w:basedOn w:val="1"/>
    <w:next w:val="1"/>
    <w:link w:val="26"/>
    <w:unhideWhenUsed/>
    <w:qFormat/>
    <w:uiPriority w:val="0"/>
    <w:pPr>
      <w:keepNext/>
      <w:keepLines/>
      <w:numPr>
        <w:ilvl w:val="3"/>
        <w:numId w:val="1"/>
      </w:numPr>
      <w:outlineLvl w:val="3"/>
    </w:pPr>
    <w:rPr>
      <w:rFonts w:ascii="Arial" w:hAnsi="Arial" w:eastAsia="微软雅黑"/>
    </w:rPr>
  </w:style>
  <w:style w:type="paragraph" w:styleId="6">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1"/>
      </w:numPr>
      <w:spacing w:line="317" w:lineRule="auto"/>
      <w:outlineLvl w:val="6"/>
    </w:pPr>
    <w:rPr>
      <w:b/>
    </w:rPr>
  </w:style>
  <w:style w:type="paragraph" w:styleId="9">
    <w:name w:val="heading 8"/>
    <w:basedOn w:val="1"/>
    <w:next w:val="1"/>
    <w:semiHidden/>
    <w:unhideWhenUsed/>
    <w:qFormat/>
    <w:uiPriority w:val="0"/>
    <w:pPr>
      <w:keepNext/>
      <w:keepLines/>
      <w:numPr>
        <w:ilvl w:val="7"/>
        <w:numId w:val="1"/>
      </w:numPr>
      <w:spacing w:line="317" w:lineRule="auto"/>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Body Text"/>
    <w:basedOn w:val="1"/>
    <w:next w:val="1"/>
    <w:qFormat/>
    <w:uiPriority w:val="0"/>
    <w:rPr>
      <w:rFonts w:ascii="楷体_GB2312" w:hAnsi="Arial" w:eastAsia="楷体_GB2312"/>
      <w:sz w:val="28"/>
      <w:szCs w:val="28"/>
    </w:rPr>
  </w:style>
  <w:style w:type="paragraph" w:styleId="13">
    <w:name w:val="Body Text Indent"/>
    <w:basedOn w:val="1"/>
    <w:next w:val="14"/>
    <w:link w:val="30"/>
    <w:qFormat/>
    <w:uiPriority w:val="0"/>
    <w:pPr>
      <w:ind w:firstLine="795"/>
    </w:pPr>
    <w:rPr>
      <w:sz w:val="32"/>
      <w:szCs w:val="32"/>
    </w:rPr>
  </w:style>
  <w:style w:type="paragraph" w:styleId="14">
    <w:name w:val="envelope return"/>
    <w:basedOn w:val="1"/>
    <w:qFormat/>
    <w:uiPriority w:val="0"/>
    <w:pPr>
      <w:snapToGrid w:val="0"/>
    </w:pPr>
    <w:rPr>
      <w:rFonts w:ascii="Arial" w:hAnsi="Arial"/>
    </w:rPr>
  </w:style>
  <w:style w:type="paragraph" w:styleId="15">
    <w:name w:val="Date"/>
    <w:basedOn w:val="1"/>
    <w:next w:val="1"/>
    <w:qFormat/>
    <w:uiPriority w:val="0"/>
  </w:style>
  <w:style w:type="paragraph" w:styleId="16">
    <w:name w:val="Balloon Text"/>
    <w:basedOn w:val="1"/>
    <w:link w:val="33"/>
    <w:qFormat/>
    <w:uiPriority w:val="0"/>
    <w:rPr>
      <w:sz w:val="18"/>
      <w:szCs w:val="18"/>
    </w:rPr>
  </w:style>
  <w:style w:type="paragraph" w:styleId="17">
    <w:name w:val="Body Text Indent 3"/>
    <w:basedOn w:val="1"/>
    <w:next w:val="11"/>
    <w:qFormat/>
    <w:uiPriority w:val="0"/>
    <w:pPr>
      <w:spacing w:line="360" w:lineRule="auto"/>
      <w:ind w:firstLine="617" w:firstLineChars="257"/>
    </w:pPr>
    <w:rPr>
      <w:rFonts w:eastAsia="宋体"/>
      <w:sz w:val="24"/>
      <w:szCs w:val="24"/>
    </w:rPr>
  </w:style>
  <w:style w:type="paragraph" w:styleId="18">
    <w:name w:val="Normal (Web)"/>
    <w:basedOn w:val="1"/>
    <w:qFormat/>
    <w:uiPriority w:val="0"/>
    <w:pPr>
      <w:spacing w:before="100" w:beforeAutospacing="1" w:after="100" w:afterAutospacing="1"/>
      <w:jc w:val="left"/>
    </w:pPr>
    <w:rPr>
      <w:rFonts w:ascii="宋体" w:hAnsi="宋体" w:cs="宋体"/>
    </w:rPr>
  </w:style>
  <w:style w:type="paragraph" w:styleId="19">
    <w:name w:val="Body Text First Indent 2"/>
    <w:basedOn w:val="13"/>
    <w:next w:val="17"/>
    <w:unhideWhenUsed/>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paragraph" w:customStyle="1" w:styleId="24">
    <w:name w:val="正文（缩进）"/>
    <w:basedOn w:val="1"/>
    <w:qFormat/>
    <w:uiPriority w:val="0"/>
    <w:pPr>
      <w:ind w:firstLine="480" w:firstLineChars="200"/>
    </w:pPr>
  </w:style>
  <w:style w:type="paragraph" w:styleId="25">
    <w:name w:val="List Paragraph"/>
    <w:basedOn w:val="1"/>
    <w:qFormat/>
    <w:uiPriority w:val="34"/>
    <w:pPr>
      <w:ind w:firstLine="420"/>
    </w:pPr>
    <w:rPr>
      <w:rFonts w:ascii="Calibri" w:hAnsi="Calibri"/>
    </w:rPr>
  </w:style>
  <w:style w:type="character" w:customStyle="1" w:styleId="26">
    <w:name w:val="标题 4 Char"/>
    <w:link w:val="5"/>
    <w:qFormat/>
    <w:uiPriority w:val="0"/>
    <w:rPr>
      <w:rFonts w:ascii="Arial" w:hAnsi="Arial" w:eastAsia="微软雅黑"/>
      <w:sz w:val="24"/>
    </w:rPr>
  </w:style>
  <w:style w:type="paragraph" w:customStyle="1" w:styleId="27">
    <w:name w:val="Body text|2"/>
    <w:basedOn w:val="1"/>
    <w:qFormat/>
    <w:uiPriority w:val="0"/>
    <w:pPr>
      <w:jc w:val="center"/>
    </w:pPr>
    <w:rPr>
      <w:rFonts w:ascii="宋体" w:hAnsi="宋体" w:cs="宋体"/>
      <w:sz w:val="26"/>
      <w:szCs w:val="26"/>
      <w:lang w:val="zh-TW" w:eastAsia="zh-TW" w:bidi="zh-TW"/>
    </w:rPr>
  </w:style>
  <w:style w:type="paragraph" w:customStyle="1" w:styleId="28">
    <w:name w:val="Other|1"/>
    <w:basedOn w:val="1"/>
    <w:qFormat/>
    <w:uiPriority w:val="0"/>
    <w:rPr>
      <w:rFonts w:ascii="宋体" w:hAnsi="宋体" w:cs="宋体"/>
      <w:sz w:val="15"/>
      <w:szCs w:val="15"/>
      <w:lang w:val="zh-TW" w:eastAsia="zh-TW" w:bidi="zh-TW"/>
    </w:rPr>
  </w:style>
  <w:style w:type="paragraph" w:customStyle="1" w:styleId="29">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0">
    <w:name w:val="正文文本缩进 Char"/>
    <w:link w:val="13"/>
    <w:qFormat/>
    <w:uiPriority w:val="0"/>
    <w:rPr>
      <w:color w:val="auto"/>
      <w:sz w:val="32"/>
      <w:szCs w:val="32"/>
    </w:rPr>
  </w:style>
  <w:style w:type="character" w:customStyle="1" w:styleId="31">
    <w:name w:val="font11"/>
    <w:basedOn w:val="22"/>
    <w:qFormat/>
    <w:uiPriority w:val="0"/>
    <w:rPr>
      <w:rFonts w:hint="eastAsia" w:ascii="宋体" w:hAnsi="宋体" w:eastAsia="宋体" w:cs="宋体"/>
      <w:color w:val="000000"/>
      <w:sz w:val="20"/>
      <w:szCs w:val="20"/>
      <w:u w:val="none"/>
    </w:rPr>
  </w:style>
  <w:style w:type="character" w:customStyle="1" w:styleId="32">
    <w:name w:val="font01"/>
    <w:basedOn w:val="22"/>
    <w:qFormat/>
    <w:uiPriority w:val="0"/>
    <w:rPr>
      <w:rFonts w:hint="default" w:ascii="Arial" w:hAnsi="Arial" w:cs="Arial"/>
      <w:color w:val="000000"/>
      <w:sz w:val="20"/>
      <w:szCs w:val="20"/>
      <w:u w:val="none"/>
    </w:rPr>
  </w:style>
  <w:style w:type="character" w:customStyle="1" w:styleId="33">
    <w:name w:val="批注框文本 Char"/>
    <w:basedOn w:val="22"/>
    <w:link w:val="16"/>
    <w:qFormat/>
    <w:uiPriority w:val="0"/>
    <w:rPr>
      <w:rFonts w:asciiTheme="minorHAnsi" w:hAnsiTheme="minorHAnsi" w:cstheme="minorBidi"/>
      <w:kern w:val="2"/>
      <w:sz w:val="18"/>
      <w:szCs w:val="18"/>
    </w:rPr>
  </w:style>
  <w:style w:type="character" w:customStyle="1" w:styleId="34">
    <w:name w:val="标题 2 字符"/>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3114</Words>
  <Characters>3302</Characters>
  <Lines>24</Lines>
  <Paragraphs>6</Paragraphs>
  <TotalTime>1422</TotalTime>
  <ScaleCrop>false</ScaleCrop>
  <LinksUpToDate>false</LinksUpToDate>
  <CharactersWithSpaces>4327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2023-11-24T00:37:00Z</cp:lastPrinted>
  <dcterms:modified xsi:type="dcterms:W3CDTF">2023-12-05T00:06:00Z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8A9DEAC441D0463E90FC3EB1C04AAB96_13</vt:lpwstr>
  </property>
</Properties>
</file>