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bidi w:val="0"/>
        <w:ind w:leftChars="0"/>
        <w:jc w:val="center"/>
      </w:pPr>
      <w:bookmarkStart w:id="0" w:name="_Toc19291"/>
      <w:r>
        <w:rPr>
          <w:rFonts w:hint="eastAsia"/>
        </w:rPr>
        <w:t>丹阳市人民医院三号楼入口处道路沥青铺设工程招标需求</w:t>
      </w:r>
      <w:bookmarkEnd w:id="0"/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/>
          <w:b/>
          <w:bCs/>
          <w:sz w:val="28"/>
          <w:szCs w:val="28"/>
        </w:rPr>
      </w:pPr>
      <w:bookmarkStart w:id="1" w:name="_Toc873"/>
      <w:bookmarkStart w:id="2" w:name="_Toc14336"/>
      <w:r>
        <w:rPr>
          <w:rFonts w:hint="eastAsia"/>
          <w:b/>
          <w:bCs/>
          <w:sz w:val="28"/>
          <w:szCs w:val="28"/>
        </w:rPr>
        <w:t>项目基本情况</w:t>
      </w:r>
      <w:bookmarkEnd w:id="1"/>
      <w:bookmarkEnd w:id="2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名称：</w:t>
      </w:r>
      <w:r>
        <w:rPr>
          <w:rFonts w:hint="eastAsia"/>
          <w:lang w:eastAsia="zh-CN"/>
        </w:rPr>
        <w:t>三号楼入口处道路沥青铺设工程招标项目</w:t>
      </w:r>
      <w:r>
        <w:rPr>
          <w:rFonts w:hint="eastAsia"/>
        </w:rPr>
        <w:t>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</w:rPr>
        <w:t>编号：</w:t>
      </w:r>
      <w:r>
        <w:rPr>
          <w:rFonts w:hint="eastAsia"/>
          <w:lang w:eastAsia="zh-CN"/>
        </w:rPr>
        <w:t>DRY-CG-202401</w:t>
      </w:r>
      <w:r>
        <w:rPr>
          <w:rFonts w:hint="eastAsia"/>
          <w:lang w:val="en-US" w:eastAsia="zh-CN"/>
        </w:rPr>
        <w:t>4；</w:t>
      </w:r>
      <w:bookmarkStart w:id="56" w:name="_GoBack"/>
      <w:bookmarkEnd w:id="56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</w:rPr>
        <w:t>预算：33487.27元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eastAsia="zh-CN"/>
        </w:rPr>
      </w:pPr>
      <w:bookmarkStart w:id="3" w:name="_Toc3661"/>
      <w:bookmarkStart w:id="4" w:name="_Toc18756"/>
      <w:r>
        <w:rPr>
          <w:rFonts w:hint="eastAsia" w:eastAsia="宋体"/>
          <w:b/>
          <w:bCs/>
          <w:sz w:val="28"/>
          <w:szCs w:val="28"/>
        </w:rPr>
        <w:t>报名时间及地点</w:t>
      </w:r>
      <w:bookmarkEnd w:id="3"/>
      <w:bookmarkEnd w:id="4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报名时间：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19  </w:t>
      </w:r>
      <w:r>
        <w:rPr>
          <w:rFonts w:hint="eastAsia"/>
        </w:rPr>
        <w:t>日至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26 </w:t>
      </w:r>
      <w:r>
        <w:rPr>
          <w:rFonts w:hint="eastAsia"/>
        </w:rPr>
        <w:t>日(节假日除外）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上午8:00-11:00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下午2: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0-5: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报名地点：丹阳市人民医院采购中心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丹阳市</w:t>
      </w:r>
      <w:r>
        <w:rPr>
          <w:rFonts w:hint="eastAsia"/>
          <w:lang w:eastAsia="zh-CN"/>
        </w:rPr>
        <w:t>西二环路</w:t>
      </w:r>
      <w:r>
        <w:rPr>
          <w:rFonts w:hint="eastAsia"/>
        </w:rPr>
        <w:t>教育印刷厂三楼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lang w:eastAsia="zh-CN"/>
        </w:rPr>
        <w:t>杨</w:t>
      </w:r>
      <w:r>
        <w:rPr>
          <w:rFonts w:hint="eastAsia"/>
        </w:rPr>
        <w:t>先生；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联系电话：0511-86553123</w:t>
      </w:r>
      <w:r>
        <w:rPr>
          <w:rFonts w:hint="eastAsia"/>
          <w:lang w:val="en-US" w:eastAsia="zh-CN"/>
        </w:rPr>
        <w:t>、15189172512</w:t>
      </w:r>
      <w:r>
        <w:rPr>
          <w:rFonts w:hint="eastAsia"/>
        </w:rPr>
        <w:t>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5" w:name="_Toc25669"/>
      <w:bookmarkStart w:id="6" w:name="_Toc1103"/>
      <w:r>
        <w:rPr>
          <w:rFonts w:hint="eastAsia" w:eastAsia="宋体"/>
          <w:b/>
          <w:bCs/>
          <w:sz w:val="28"/>
          <w:szCs w:val="28"/>
          <w:lang w:val="en-US" w:eastAsia="zh-CN"/>
        </w:rPr>
        <w:t>资质要求</w:t>
      </w:r>
      <w:bookmarkEnd w:id="5"/>
      <w:bookmarkEnd w:id="6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投标人应具备《中华人民共和国政府采购法》第二十二条规定的条件，提供下列材料：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具有独立承担民事责任的能力：在中华人民共和国境内注册的法人或其他组织或自然人，投标（响应）时提交有效的营业执照（或事业法人登记证或身份证等相关证明） 副本复印件。分支机构投标的，须提供总公司和分公司营业执照副本复印件，总公司出具给分支机构的授权书。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有依法缴纳税收和社会保障资金的良好记录：有依法缴纳税收和社会保障资金的良好记录（提供资格承诺函）。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具有良好的商业信誉和健全的财务会计制度：供应商必须具有良好的商业信誉和健全的财务会计制度（提供资格承诺函） 。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履行合同所必需的设备和专业技术能力：按投标（响应）文件格式填报设备及专业技术能力情况（提供资格承诺函）。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本项目特定的资格要求：</w:t>
      </w:r>
    </w:p>
    <w:p>
      <w:pPr>
        <w:numPr>
          <w:ilvl w:val="2"/>
          <w:numId w:val="3"/>
        </w:numPr>
        <w:bidi w:val="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经年检有效的《营业执照》复印件并加盖公章，经营范围包含 市政工程、公路工程施工承包和建筑工程施工承包等相关内容 ，资质要求：市政工程、建筑工程、公路工程等相关专业承包叁级及以上。</w:t>
      </w:r>
    </w:p>
    <w:p>
      <w:pPr>
        <w:numPr>
          <w:ilvl w:val="2"/>
          <w:numId w:val="3"/>
        </w:numPr>
        <w:bidi w:val="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合法有效的安全生产许可证（复印件盖公章）。</w:t>
      </w:r>
    </w:p>
    <w:p>
      <w:pPr>
        <w:numPr>
          <w:ilvl w:val="2"/>
          <w:numId w:val="3"/>
        </w:numPr>
        <w:bidi w:val="0"/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提供现场踏勘确认书，未提供的作无效投标处理。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7" w:name="_Toc26948"/>
      <w:bookmarkStart w:id="8" w:name="_Toc13744"/>
      <w:r>
        <w:rPr>
          <w:rFonts w:hint="eastAsia" w:eastAsia="宋体"/>
          <w:b/>
          <w:bCs/>
          <w:sz w:val="28"/>
          <w:szCs w:val="28"/>
          <w:lang w:val="en-US" w:eastAsia="zh-CN"/>
        </w:rPr>
        <w:t>技术要求</w:t>
      </w:r>
      <w:bookmarkEnd w:id="7"/>
      <w:bookmarkEnd w:id="8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bookmarkStart w:id="9" w:name="_Toc28068"/>
      <w:bookmarkStart w:id="10" w:name="_Toc24671"/>
      <w:r>
        <w:rPr>
          <w:rFonts w:hint="eastAsia" w:eastAsia="宋体"/>
          <w:lang w:val="en-US" w:eastAsia="zh-CN"/>
        </w:rPr>
        <w:t>施工内容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现有路面沥青混凝土的铲除及清理（铲除厚度由中标单位根据实际情况确定，当天产生的废渣需当天完成清理）。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根据现场情况调整污水井和雨水井等高度，确保雨天排水通畅。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路面铺设细粒式沥青混凝土，路面压实，厚度≥7cm。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空调外机拆除，路面施工完成后重新安装到位。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施工要求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施工区域为三号楼主要出入口，应分2次施工（2次铲除、2次铺设），充分保障患者及其家属通行之便利，同时做好现场安全防护措施，如施工中发生人员或财产损失，由施工方负全责，与院方无关。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施工单位应充分勘察现场，自行考虑污水井等高度调整、沥青铺设坡度和现有管路布局等，施工完成后保证雨天路面排水通畅。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施工区域地下有化粪池和管路，现场无法使用大型挖掘和压实机械，需人工或小型机械施工，如施工造成塌陷，由施工方负全责。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施工方铺设沥青混凝土时应通知院方相关人员到场测量厚度并拍照，施工结束应保证路面平整。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施工前办理《施工证申请表》和《动火许可证》。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施工用到水、电、气费由院方承担。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工程量仅供参考，投标前请自行现场勘查、确认，中标后不得以任何理由要求增加工程造价。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施工各阶段需拍照留证并对应好交予院方，作为结算凭据。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商务要求</w:t>
      </w:r>
      <w:bookmarkEnd w:id="9"/>
      <w:bookmarkEnd w:id="10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工程保修期：2年。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标的完成时间：合同签订之日后5天内。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验收要求：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路面沥青混凝土已完成铺设并压实，厚度≥7cm，路面平整。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雨天路面排水通畅。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付款方式：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工程竣工验收合格，审计结束后，甲方支付80%；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工程竣工验收合格满一年，甲方支付10%。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工程竣工验收合格满二年，余款付清。</w:t>
      </w:r>
    </w:p>
    <w:p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承包人上报的工程结算金额须准确，如所报工程结算的审减比例超过9%（注：审减比例＝（报审金额﹣审定金额）／报审金额＊100%),工程结算审减金额超出9％部分的竣工结算审计咨询费由承包人承担，按审减额的3％计取，该费用由发包人从应付合同价款中扣缴。若发现承包人恶意虚报，发包人有权将承包人列入人民医院黑名单并暂停其投标报名一年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default" w:eastAsia="宋体"/>
          <w:b/>
          <w:bCs/>
          <w:sz w:val="28"/>
          <w:szCs w:val="28"/>
          <w:lang w:val="en-US" w:eastAsia="zh-CN"/>
        </w:rPr>
      </w:pPr>
      <w:bookmarkStart w:id="11" w:name="_Toc27123"/>
      <w:bookmarkStart w:id="12" w:name="_Toc3739"/>
      <w:r>
        <w:rPr>
          <w:rFonts w:hint="eastAsia" w:eastAsia="宋体"/>
          <w:b/>
          <w:bCs/>
          <w:sz w:val="28"/>
          <w:szCs w:val="28"/>
          <w:lang w:val="en-US" w:eastAsia="zh-CN"/>
        </w:rPr>
        <w:t>其它</w:t>
      </w:r>
      <w:bookmarkEnd w:id="11"/>
      <w:bookmarkEnd w:id="12"/>
    </w:p>
    <w:p>
      <w:pPr>
        <w:numPr>
          <w:ilvl w:val="1"/>
          <w:numId w:val="3"/>
        </w:numPr>
        <w:tabs>
          <w:tab w:val="left" w:pos="480"/>
        </w:tabs>
        <w:bidi w:val="0"/>
        <w:ind w:left="567" w:leftChars="0" w:hanging="567" w:firstLineChars="0"/>
        <w:rPr>
          <w:rFonts w:hint="eastAsia" w:eastAsia="宋体"/>
        </w:rPr>
      </w:pPr>
      <w:r>
        <w:rPr>
          <w:rFonts w:hint="eastAsia" w:eastAsia="宋体"/>
        </w:rPr>
        <w:t>勘察要求：</w:t>
      </w:r>
      <w:r>
        <w:rPr>
          <w:rFonts w:hint="eastAsia" w:eastAsia="宋体"/>
          <w:lang w:val="en-US" w:eastAsia="zh-CN"/>
        </w:rPr>
        <w:t>具体施工内容及工程量需察看现场，有疑问当面与院方沟通，并填写现场</w:t>
      </w:r>
      <w:r>
        <w:rPr>
          <w:rFonts w:hint="eastAsia" w:eastAsia="宋体"/>
        </w:rPr>
        <w:t>踏勘</w:t>
      </w:r>
      <w:r>
        <w:rPr>
          <w:rFonts w:hint="eastAsia" w:eastAsia="宋体"/>
          <w:lang w:val="en-US" w:eastAsia="zh-CN"/>
        </w:rPr>
        <w:t>确认书，现场</w:t>
      </w:r>
      <w:r>
        <w:rPr>
          <w:rFonts w:hint="eastAsia" w:eastAsia="宋体"/>
        </w:rPr>
        <w:t>踏勘</w:t>
      </w:r>
      <w:r>
        <w:rPr>
          <w:rFonts w:hint="eastAsia" w:eastAsia="宋体"/>
          <w:lang w:val="en-US" w:eastAsia="zh-CN"/>
        </w:rPr>
        <w:t>确认书封装于投标文件内，无现场</w:t>
      </w:r>
      <w:r>
        <w:rPr>
          <w:rFonts w:hint="eastAsia" w:eastAsia="宋体"/>
        </w:rPr>
        <w:t>踏勘</w:t>
      </w:r>
      <w:r>
        <w:rPr>
          <w:rFonts w:hint="eastAsia" w:eastAsia="宋体"/>
          <w:lang w:val="en-US" w:eastAsia="zh-CN"/>
        </w:rPr>
        <w:t>确认书的视为无效投标。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</w:rPr>
      </w:pPr>
      <w:r>
        <w:rPr>
          <w:rFonts w:hint="eastAsia" w:eastAsia="宋体"/>
          <w:lang w:val="en-US" w:eastAsia="zh-CN"/>
        </w:rPr>
        <w:t>现场</w:t>
      </w:r>
      <w:r>
        <w:rPr>
          <w:rFonts w:hint="eastAsia" w:eastAsia="宋体"/>
        </w:rPr>
        <w:t>踏勘</w:t>
      </w:r>
      <w:r>
        <w:rPr>
          <w:rFonts w:hint="eastAsia" w:eastAsia="宋体"/>
          <w:lang w:val="en-US" w:eastAsia="zh-CN"/>
        </w:rPr>
        <w:t>联系人：</w:t>
      </w:r>
      <w:r>
        <w:rPr>
          <w:rFonts w:hint="eastAsia"/>
          <w:lang w:val="en-US" w:eastAsia="zh-CN"/>
        </w:rPr>
        <w:t>杜科长</w:t>
      </w:r>
      <w:r>
        <w:rPr>
          <w:rFonts w:hint="eastAsia" w:eastAsia="宋体"/>
          <w:lang w:val="en-US" w:eastAsia="zh-CN"/>
        </w:rPr>
        <w:t>，联系电话：</w:t>
      </w:r>
      <w:r>
        <w:rPr>
          <w:rFonts w:hint="eastAsia"/>
          <w:lang w:val="en-US" w:eastAsia="zh-CN"/>
        </w:rPr>
        <w:t>15862946715</w:t>
      </w:r>
      <w:r>
        <w:rPr>
          <w:rFonts w:hint="eastAsia" w:eastAsia="宋体"/>
          <w:lang w:val="en-US" w:eastAsia="zh-CN"/>
        </w:rPr>
        <w:t>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13" w:name="_Toc10480"/>
      <w:bookmarkStart w:id="14" w:name="_Toc7920"/>
      <w:r>
        <w:rPr>
          <w:rFonts w:hint="eastAsia" w:eastAsia="宋体"/>
          <w:b/>
          <w:bCs/>
          <w:sz w:val="28"/>
          <w:szCs w:val="28"/>
          <w:lang w:val="en-US" w:eastAsia="zh-CN"/>
        </w:rPr>
        <w:t>招标时间及地点</w:t>
      </w:r>
      <w:bookmarkEnd w:id="13"/>
      <w:bookmarkEnd w:id="14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开标时间：医院通知；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招标地点：院内会议室；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招标方式：竞争性谈判；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投标文件1式</w:t>
      </w:r>
      <w:r>
        <w:rPr>
          <w:rFonts w:hint="eastAsia"/>
          <w:lang w:val="en-US" w:eastAsia="zh-CN"/>
        </w:rPr>
        <w:t>2份</w:t>
      </w:r>
      <w:r>
        <w:rPr>
          <w:rFonts w:hint="eastAsia"/>
        </w:rPr>
        <w:t>，开标时提供（格式参见第二部分）。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15" w:name="_Toc6963"/>
      <w:bookmarkStart w:id="16" w:name="_Toc14655"/>
      <w:r>
        <w:rPr>
          <w:rFonts w:hint="eastAsia" w:eastAsia="宋体"/>
          <w:b/>
          <w:bCs/>
          <w:sz w:val="28"/>
          <w:szCs w:val="28"/>
          <w:lang w:val="en-US" w:eastAsia="zh-CN"/>
        </w:rPr>
        <w:t>投标人报名时提交材料</w:t>
      </w:r>
      <w:bookmarkEnd w:id="15"/>
      <w:bookmarkEnd w:id="16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营业执照复印件（复印件盖公章）；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/>
        </w:rPr>
        <w:t>法人授权委托书及被授权人身份证复印件，法人参加报名的提供法人身份证复印件；</w:t>
      </w:r>
    </w:p>
    <w:p>
      <w:pPr>
        <w:rPr>
          <w:rFonts w:hint="eastAsia"/>
        </w:rPr>
      </w:pPr>
    </w:p>
    <w:p>
      <w:pPr>
        <w:pStyle w:val="4"/>
        <w:numPr>
          <w:ilvl w:val="1"/>
          <w:numId w:val="0"/>
        </w:numPr>
        <w:bidi w:val="0"/>
        <w:jc w:val="center"/>
      </w:pPr>
      <w:bookmarkStart w:id="17" w:name="_Toc5584"/>
      <w:r>
        <w:rPr>
          <w:rFonts w:hint="eastAsia"/>
        </w:rPr>
        <w:t>服务合同</w:t>
      </w:r>
    </w:p>
    <w:p>
      <w:pPr>
        <w:bidi w:val="0"/>
      </w:pPr>
      <w:r>
        <w:rPr>
          <w:rFonts w:hint="eastAsia"/>
        </w:rPr>
        <w:t>甲方：</w:t>
      </w:r>
      <w:r>
        <w:rPr>
          <w:rFonts w:hint="eastAsia"/>
          <w:lang w:val="en-US" w:eastAsia="zh-CN"/>
        </w:rPr>
        <w:t>丹阳市人民医院</w:t>
      </w:r>
      <w:r>
        <w:rPr>
          <w:rFonts w:hint="eastAsia"/>
        </w:rPr>
        <w:t xml:space="preserve">                        </w:t>
      </w:r>
    </w:p>
    <w:p>
      <w:pPr>
        <w:bidi w:val="0"/>
      </w:pPr>
      <w:r>
        <w:rPr>
          <w:rFonts w:hint="eastAsia"/>
        </w:rPr>
        <w:t xml:space="preserve">乙方：                         </w:t>
      </w:r>
    </w:p>
    <w:p>
      <w:pPr>
        <w:ind w:firstLine="480" w:firstLineChars="200"/>
      </w:pPr>
      <w:r>
        <w:rPr>
          <w:rFonts w:hint="eastAsia"/>
          <w:lang w:val="en-US" w:eastAsia="zh-CN"/>
        </w:rPr>
        <w:t xml:space="preserve">为明确双方的权利与义务，根据《中华人民共和国民法典》及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color w:val="0000FF"/>
          <w:u w:val="single"/>
          <w:lang w:val="en-US" w:eastAsia="zh-CN"/>
        </w:rPr>
        <w:t>三号楼入口处道路沥青铺设工程招标项目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招标采购项目（招标编</w:t>
      </w:r>
      <w:r>
        <w:rPr>
          <w:rFonts w:hint="eastAsia" w:eastAsia="宋体"/>
          <w:u w:val="none"/>
          <w:lang w:val="en-US" w:eastAsia="zh-CN"/>
        </w:rPr>
        <w:t>号</w:t>
      </w:r>
      <w:r>
        <w:rPr>
          <w:rFonts w:hint="eastAsia"/>
          <w:color w:val="0000FF"/>
          <w:u w:val="single"/>
          <w:lang w:val="en-US" w:eastAsia="zh-CN"/>
        </w:rPr>
        <w:t>DRY-CG-2024014</w:t>
      </w:r>
      <w:r>
        <w:rPr>
          <w:rFonts w:hint="eastAsia" w:eastAsia="宋体"/>
          <w:u w:val="single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）采购结果，在</w:t>
      </w:r>
      <w:r>
        <w:rPr>
          <w:rFonts w:hint="eastAsia"/>
        </w:rPr>
        <w:t>甲、乙双方在平等、自愿、协商一致的基础上达成如下协议，共同遵守。</w:t>
      </w:r>
    </w:p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</w:rPr>
        <w:t>服务地点：</w:t>
      </w:r>
      <w:r>
        <w:rPr>
          <w:rFonts w:hint="eastAsia"/>
          <w:lang w:val="en-US" w:eastAsia="zh-CN"/>
        </w:rPr>
        <w:t>丹阳市人民医院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  <w:color w:val="0000FF"/>
        </w:rPr>
      </w:pPr>
      <w:r>
        <w:rPr>
          <w:rFonts w:hint="eastAsia"/>
          <w:color w:val="0000FF"/>
        </w:rPr>
        <w:t>服务内容：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现有路面沥青混凝土的铲除及清理（铲除厚度由中标单位根据实际情况确定，当天产生的废渣需当天完成清理）。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根据现场情况调整污水井和雨水井等高度，确保雨天排水通畅。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路面铺设细粒式沥青混凝土，路面压实，厚度≥7cm。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空调外机拆除，路面施工完成后重新安装到位。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服务标准：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施工区域为三号楼主要出入口，应分2次施工（2次铲除、2次铺设），充分保障患者及其家属通行之便利，同时做好现场安全防护措施，如施工中发生人员或财产损失，由施工方负全责，与院方无关。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施工单位应充分勘察现场，自行考虑污水井等高度调整、沥青铺设坡度和现有管路布局等，施工完成后保证雨天路面排水通畅。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施工区域地下有化粪池和管路，现场无法使用大型挖掘和压实机械，需人工或小型机械施工，如施工造成塌陷，由施工方负全责。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施工方铺设沥青混凝土时应通知院方相关人员到场测量厚度并拍照，施工结束应保证路面平整。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施工前办理《施工证申请表》和《动火许可证》。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施工用到水、电、气费由院方承担。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工程量仅供参考，投标前请自行现场勘查、确认，中标后不得以任何理由要求增加工程造价。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施工各阶段需拍照留证并对应好交予院方，作为结算凭据。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color w:val="0000FF"/>
        </w:rPr>
      </w:pPr>
      <w:r>
        <w:rPr>
          <w:color w:val="0000FF"/>
          <w:sz w:val="24"/>
          <w:szCs w:val="24"/>
        </w:rPr>
        <w:t>标的</w:t>
      </w:r>
      <w:r>
        <w:rPr>
          <w:rFonts w:hint="eastAsia"/>
          <w:color w:val="0000FF"/>
          <w:sz w:val="24"/>
          <w:szCs w:val="24"/>
        </w:rPr>
        <w:t>完成</w:t>
      </w:r>
      <w:r>
        <w:rPr>
          <w:color w:val="0000FF"/>
          <w:sz w:val="24"/>
          <w:szCs w:val="24"/>
        </w:rPr>
        <w:t>时间</w:t>
      </w:r>
      <w:r>
        <w:rPr>
          <w:rFonts w:hint="eastAsia"/>
          <w:color w:val="0000FF"/>
          <w:sz w:val="24"/>
          <w:szCs w:val="24"/>
          <w:lang w:eastAsia="zh-CN"/>
        </w:rPr>
        <w:t>：</w:t>
      </w:r>
      <w:r>
        <w:rPr>
          <w:rFonts w:hint="eastAsia"/>
          <w:color w:val="0000FF"/>
          <w:sz w:val="24"/>
          <w:szCs w:val="24"/>
          <w:lang w:val="en-US" w:eastAsia="zh-CN"/>
        </w:rPr>
        <w:t>合同签定后5天内</w:t>
      </w:r>
      <w:r>
        <w:rPr>
          <w:rFonts w:hint="eastAsia"/>
          <w:color w:val="0000FF"/>
        </w:rPr>
        <w:t>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验收要求：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路面沥青混凝土已完成铺设并压实，厚度≥7cm，路面平整。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雨天路面排水通畅。</w:t>
      </w:r>
    </w:p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</w:rPr>
        <w:t>合同价及结算方式</w:t>
      </w:r>
      <w:r>
        <w:rPr>
          <w:rFonts w:hint="eastAsia"/>
          <w:lang w:eastAsia="zh-CN"/>
        </w:rPr>
        <w:t>：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合同总价（人民币大写）：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；（人民币小写）：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（元）；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结算方式：</w:t>
      </w:r>
    </w:p>
    <w:p>
      <w:pPr>
        <w:numPr>
          <w:ilvl w:val="2"/>
          <w:numId w:val="4"/>
        </w:numPr>
        <w:bidi w:val="0"/>
        <w:ind w:left="709" w:leftChars="0" w:hanging="709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工程竣工验收合格，审计结束后，甲方支付80%；</w:t>
      </w:r>
    </w:p>
    <w:p>
      <w:pPr>
        <w:numPr>
          <w:ilvl w:val="2"/>
          <w:numId w:val="4"/>
        </w:numPr>
        <w:bidi w:val="0"/>
        <w:ind w:left="709" w:leftChars="0" w:hanging="709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工程竣工验收合格满一年，甲方支付10%。</w:t>
      </w:r>
    </w:p>
    <w:p>
      <w:pPr>
        <w:numPr>
          <w:ilvl w:val="2"/>
          <w:numId w:val="4"/>
        </w:numPr>
        <w:bidi w:val="0"/>
        <w:ind w:left="709" w:leftChars="0" w:hanging="709" w:firstLineChars="0"/>
        <w:rPr>
          <w:rFonts w:hint="eastAsia" w:eastAsia="宋体"/>
          <w:color w:val="0000FF"/>
        </w:rPr>
      </w:pPr>
      <w:r>
        <w:rPr>
          <w:rFonts w:hint="eastAsia" w:eastAsia="宋体"/>
          <w:color w:val="0000FF"/>
        </w:rPr>
        <w:t>工程竣工验收合格满二年，余款付清。</w:t>
      </w:r>
    </w:p>
    <w:p>
      <w:pPr>
        <w:numPr>
          <w:ilvl w:val="2"/>
          <w:numId w:val="4"/>
        </w:numPr>
        <w:bidi w:val="0"/>
        <w:ind w:left="709" w:leftChars="0" w:hanging="709" w:firstLineChars="0"/>
      </w:pPr>
      <w:r>
        <w:rPr>
          <w:rFonts w:hint="eastAsia" w:eastAsia="宋体"/>
          <w:color w:val="0000FF"/>
        </w:rPr>
        <w:t>承包人上报的工程结算金额须准确，如所报工程结算的审减比例超过9%（注：审减比例＝（报审金额﹣审定金额）／报审金额＊100%),工程结算审减金额超出9％部分的竣工结算审计咨询费由承包人承担，按审减额的3％计取，该费用由发包人从应付合同价款中扣缴。若发现承包人恶意虚报，发包人有权将承包人列入人民医院黑名单并暂停其投标报名一年。</w:t>
      </w:r>
    </w:p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</w:rPr>
        <w:t>有关安全生产和防火等的现场管理约定</w:t>
      </w:r>
      <w:r>
        <w:rPr>
          <w:rFonts w:hint="eastAsia"/>
          <w:lang w:eastAsia="zh-CN"/>
        </w:rPr>
        <w:t>：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乙方在服务中应采取必要的安全防护和消防措施，保障作业人员及相邻人员的安全，防止相邻房屋的管道堵塞、渗漏水、停电、物品毁坏等事故发生。如遇上述情况发生，属于乙方责任的，由乙方负责修复和赔偿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乙方如因服务原因需居住在服务现场，日常用水、用电、用燃气等必须注意安全，如乙方因此而造成相关后果，由乙方负责。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乙方应做好服务现场管理工作，禁止无关人员进入现场。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乙方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>本合同履行过程中造成自身或他人人身、财产损失的，由乙方承担全部责任，给甲方造成损失的，甲方有权向乙方追偿。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乙方交通工具自备，所有安全责任自负，与甲方无涉。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乙方工作中用水、用电、动火等必须注意安全，如乙方因此而造成相关后果，由乙方负责。</w:t>
      </w:r>
    </w:p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</w:rPr>
        <w:t>甲方工作：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甲方为乙方提供服务需用的水、电等必备条件，水、电、气费由甲方承担。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乙方服务工作中如需临时占用公用部位操作，甲方负责相关协调工作。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甲方有权进入服务现场对服务项目的进度与质量进行检查、验收。</w:t>
      </w:r>
    </w:p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</w:rPr>
        <w:t>乙方工作：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合同签约后，乙方至甲方保卫科办理相关申请（合同期内长期使用），服务工作中如动火，乙方须至甲方保卫科报备（每次）。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对甲方滞留在现场的设备等物品注意保护，如损坏需赔偿。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bookmarkStart w:id="18" w:name="_Hlk149034013"/>
      <w:r>
        <w:rPr>
          <w:rFonts w:hint="eastAsia"/>
        </w:rPr>
        <w:t>遵守甲方的规章制度。</w:t>
      </w:r>
    </w:p>
    <w:bookmarkEnd w:id="18"/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</w:rPr>
        <w:t>纠纷处理方式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因各项事务甲乙双方发生争议时，双方协商解决。协商不成的，</w:t>
      </w:r>
      <w:bookmarkStart w:id="19" w:name="_Hlk149034050"/>
      <w:r>
        <w:rPr>
          <w:rFonts w:hint="eastAsia"/>
        </w:rPr>
        <w:t>向丹阳市人民法院提起诉讼，权利方支出的诉讼费用、律师代理费、保函费、交通费等合理费用由败诉方承担。</w:t>
      </w:r>
    </w:p>
    <w:bookmarkEnd w:id="19"/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</w:rPr>
        <w:t>合同履约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合同经双方签字生效后，双方必须严格遵守，除因不可抗力情形，任何一方不得</w:t>
      </w:r>
      <w:bookmarkStart w:id="20" w:name="_Hlk149034090"/>
      <w:r>
        <w:rPr>
          <w:rFonts w:hint="eastAsia"/>
        </w:rPr>
        <w:t xml:space="preserve">单方面解除或终止合同，否则应向对方支付违约金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元。</w:t>
      </w:r>
      <w:bookmarkEnd w:id="20"/>
    </w:p>
    <w:p>
      <w:pPr>
        <w:numPr>
          <w:ilvl w:val="1"/>
          <w:numId w:val="4"/>
        </w:numPr>
        <w:bidi w:val="0"/>
        <w:ind w:left="567" w:leftChars="0" w:hanging="567" w:firstLineChars="0"/>
      </w:pPr>
      <w:bookmarkStart w:id="21" w:name="_Hlk149034101"/>
      <w:r>
        <w:rPr>
          <w:rFonts w:hint="eastAsia"/>
        </w:rPr>
        <w:t>一方未遵守合同约定构成违约的，应当向守约方支付违约金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元，并赔偿守约方因此产生的损失。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bookmarkStart w:id="22" w:name="_Hlk148970987"/>
      <w:r>
        <w:rPr>
          <w:rFonts w:hint="eastAsia"/>
        </w:rPr>
        <w:t xml:space="preserve">本合同不得转包，如有违反，甲方有权解除本合同，同时，乙方应向甲方承担合同总价款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%的违约金，给甲方造成损失的，还应赔偿甲方一切经济损失。</w:t>
      </w:r>
      <w:bookmarkEnd w:id="22"/>
    </w:p>
    <w:bookmarkEnd w:id="21"/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  <w:lang w:val="en-US" w:eastAsia="zh-CN"/>
        </w:rPr>
        <w:t xml:space="preserve"> 下</w:t>
      </w:r>
      <w:r>
        <w:rPr>
          <w:rFonts w:hint="eastAsia"/>
        </w:rPr>
        <w:t>列甲方采购文件、乙方响应文件，或与本次采购活动方式相适应的文件，以及有关附件是本合同不可分割的组成部分，与本合同具有同等法律效力，这些文件包括但不限于</w:t>
      </w:r>
      <w:r>
        <w:rPr>
          <w:rFonts w:hint="eastAsia"/>
          <w:lang w:val="en-US" w:eastAsia="zh-CN"/>
        </w:rPr>
        <w:t>: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甲方的采购文件；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乙方的响应文件；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乙方的服务承诺；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甲乙双方商定的其他文件等。</w:t>
      </w:r>
    </w:p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</w:rPr>
        <w:t>本合同一式  二  份，甲、乙双方各执一份，合同附件为本合同的组成部分，具有同等的法律效力。</w:t>
      </w:r>
    </w:p>
    <w:p>
      <w:pPr>
        <w:bidi w:val="0"/>
      </w:pP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甲方（盖章）：                        乙方（盖章）：</w:t>
      </w:r>
    </w:p>
    <w:p>
      <w:pPr>
        <w:pStyle w:val="26"/>
        <w:rPr>
          <w:rFonts w:hint="eastAsia"/>
        </w:rPr>
      </w:pPr>
    </w:p>
    <w:p>
      <w:pPr>
        <w:pStyle w:val="26"/>
      </w:pP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甲方代表（签字盖章）：                乙方代表（签字盖章）：</w:t>
      </w:r>
    </w:p>
    <w:p>
      <w:pPr>
        <w:pStyle w:val="26"/>
        <w:rPr>
          <w:rFonts w:hint="eastAsia"/>
        </w:rPr>
      </w:pPr>
    </w:p>
    <w:p>
      <w:pPr>
        <w:pStyle w:val="26"/>
      </w:pPr>
    </w:p>
    <w:p>
      <w:pPr>
        <w:numPr>
          <w:ilvl w:val="0"/>
          <w:numId w:val="0"/>
        </w:numPr>
        <w:bidi w:val="0"/>
        <w:ind w:leftChars="0"/>
      </w:pPr>
      <w:r>
        <w:rPr>
          <w:rFonts w:hint="eastAsia"/>
        </w:rPr>
        <w:t>日     期：                           日    期：</w:t>
      </w: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</w:pPr>
    </w:p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br w:type="page"/>
      </w: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第二部分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谈判</w:t>
      </w:r>
      <w:r>
        <w:rPr>
          <w:rFonts w:hint="eastAsia" w:ascii="黑体" w:hAnsi="黑体" w:eastAsia="黑体" w:cs="黑体"/>
          <w:sz w:val="30"/>
          <w:szCs w:val="30"/>
        </w:rPr>
        <w:t>响应文件（格式如下）</w:t>
      </w:r>
      <w:bookmarkEnd w:id="17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23" w:name="_Toc12859"/>
      <w:bookmarkStart w:id="24" w:name="_Toc16822"/>
      <w:r>
        <w:rPr>
          <w:rFonts w:hint="eastAsia" w:ascii="黑体" w:hAnsi="黑体" w:eastAsia="黑体" w:cs="黑体"/>
          <w:sz w:val="30"/>
          <w:szCs w:val="3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bookmarkEnd w:id="23"/>
      <w:bookmarkEnd w:id="24"/>
      <w:r>
        <w:rPr>
          <w:rFonts w:hint="eastAsia" w:ascii="黑体" w:hAnsi="黑体" w:eastAsia="黑体" w:cs="黑体"/>
          <w:sz w:val="30"/>
          <w:szCs w:val="30"/>
          <w:lang w:eastAsia="zh-CN"/>
        </w:rPr>
        <w:t>三号楼入口处道路沥青铺设工程招标项目</w:t>
      </w: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5" w:name="_Toc30442"/>
      <w:bookmarkStart w:id="26" w:name="_Toc18710"/>
      <w:r>
        <w:rPr>
          <w:rFonts w:hint="eastAsia" w:ascii="黑体" w:hAnsi="黑体" w:eastAsia="黑体" w:cs="黑体"/>
          <w:sz w:val="30"/>
          <w:szCs w:val="30"/>
        </w:rPr>
        <w:t>投 标 文 件</w:t>
      </w:r>
      <w:bookmarkEnd w:id="25"/>
      <w:bookmarkEnd w:id="26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7" w:name="_Toc22247"/>
      <w:bookmarkStart w:id="28" w:name="_Toc24315"/>
      <w:r>
        <w:rPr>
          <w:rFonts w:hint="eastAsia" w:ascii="黑体" w:hAnsi="黑体" w:eastAsia="黑体" w:cs="黑体"/>
          <w:sz w:val="30"/>
          <w:szCs w:val="30"/>
        </w:rPr>
        <w:t xml:space="preserve">（招标编号：  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DRY-CG-202401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4 </w:t>
      </w:r>
      <w:r>
        <w:rPr>
          <w:rFonts w:hint="eastAsia" w:ascii="黑体" w:hAnsi="黑体" w:eastAsia="黑体" w:cs="黑体"/>
          <w:sz w:val="30"/>
          <w:szCs w:val="30"/>
        </w:rPr>
        <w:t>）</w:t>
      </w:r>
      <w:bookmarkEnd w:id="27"/>
      <w:bookmarkEnd w:id="28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9" w:name="_Toc29846"/>
      <w:bookmarkStart w:id="30" w:name="_Toc14491"/>
      <w:r>
        <w:rPr>
          <w:rFonts w:hint="eastAsia" w:ascii="黑体" w:hAnsi="黑体" w:eastAsia="黑体" w:cs="黑体"/>
          <w:sz w:val="30"/>
          <w:szCs w:val="30"/>
        </w:rPr>
        <w:t>投 标 人（盖章）：</w:t>
      </w:r>
      <w:bookmarkEnd w:id="29"/>
      <w:bookmarkEnd w:id="30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31" w:name="_Toc6581"/>
      <w:bookmarkStart w:id="32" w:name="_Toc27992"/>
      <w:r>
        <w:rPr>
          <w:rFonts w:hint="eastAsia" w:ascii="黑体" w:hAnsi="黑体" w:eastAsia="黑体" w:cs="黑体"/>
          <w:sz w:val="30"/>
          <w:szCs w:val="30"/>
        </w:rPr>
        <w:t>日    期：</w:t>
      </w:r>
      <w:bookmarkEnd w:id="31"/>
      <w:bookmarkEnd w:id="32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26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sz w:val="32"/>
          <w:szCs w:val="32"/>
        </w:rPr>
      </w:pPr>
      <w:bookmarkStart w:id="33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bidi w:val="0"/>
        <w:jc w:val="center"/>
        <w:rPr>
          <w:b/>
          <w:bCs/>
          <w:sz w:val="30"/>
          <w:szCs w:val="30"/>
        </w:rPr>
      </w:pPr>
      <w:bookmarkStart w:id="34" w:name="_Toc22545"/>
      <w:bookmarkStart w:id="35" w:name="_Toc554"/>
      <w:r>
        <w:rPr>
          <w:b/>
          <w:bCs/>
          <w:sz w:val="30"/>
          <w:szCs w:val="30"/>
        </w:rPr>
        <w:t>投标文件目录</w:t>
      </w:r>
      <w:bookmarkEnd w:id="34"/>
      <w:bookmarkEnd w:id="35"/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技术要求偏离表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商务响应偏离表</w:t>
      </w:r>
    </w:p>
    <w:p>
      <w:pPr>
        <w:rPr>
          <w:rFonts w:hint="eastAsia" w:eastAsia="宋体" w:asciiTheme="minorAscii" w:hAnsiTheme="minorAscii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asciiTheme="minorAscii" w:hAnsiTheme="minorAscii" w:cstheme="minorBidi"/>
          <w:b w:val="0"/>
          <w:kern w:val="2"/>
          <w:sz w:val="28"/>
          <w:szCs w:val="28"/>
          <w:lang w:val="en-US" w:eastAsia="zh-CN" w:bidi="ar-SA"/>
        </w:rPr>
        <w:br w:type="page"/>
      </w:r>
    </w:p>
    <w:p>
      <w:pPr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6"/>
        </w:numPr>
        <w:bidi w:val="0"/>
        <w:ind w:left="0" w:leftChars="0" w:firstLine="0" w:firstLineChars="0"/>
        <w:outlineLvl w:val="1"/>
        <w:rPr>
          <w:rFonts w:hint="eastAsia"/>
        </w:rPr>
      </w:pPr>
      <w:bookmarkStart w:id="36" w:name="_Toc29490"/>
      <w:r>
        <w:rPr>
          <w:rFonts w:hint="eastAsia"/>
        </w:rPr>
        <w:t>投 标 函</w:t>
      </w:r>
      <w:bookmarkEnd w:id="33"/>
      <w:bookmarkEnd w:id="36"/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丹阳市人民医院: </w:t>
      </w:r>
    </w:p>
    <w:p>
      <w:pPr>
        <w:numPr>
          <w:ilvl w:val="0"/>
          <w:numId w:val="7"/>
        </w:numPr>
        <w:bidi w:val="0"/>
        <w:ind w:left="425" w:leftChars="0" w:hanging="425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我方己仔细研究了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三号楼入口处道路沥青铺设工程招标项目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采购招标文件的全部内容，愿意以人民币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大写）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（￥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元）的投标总报价，并将按招标文件的规定履行合同责任和义务，实现工程目的。</w:t>
      </w:r>
    </w:p>
    <w:p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我方承诺在招标文件规定的投标有效期内不修改、撤销投标文件。</w:t>
      </w:r>
    </w:p>
    <w:p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如果我方中标，将派出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（姓名）作为本的项目负责人。</w:t>
      </w:r>
    </w:p>
    <w:p>
      <w:pPr>
        <w:numPr>
          <w:ilvl w:val="0"/>
          <w:numId w:val="7"/>
        </w:numPr>
        <w:bidi w:val="0"/>
        <w:rPr>
          <w:rFonts w:hint="eastAsia" w:ascii="宋体" w:hAnsi="宋体" w:eastAsia="宋体" w:cs="宋体"/>
          <w:sz w:val="28"/>
          <w:szCs w:val="28"/>
        </w:rPr>
      </w:pPr>
      <w:bookmarkStart w:id="37" w:name="_Toc25712"/>
      <w:r>
        <w:rPr>
          <w:rFonts w:hint="eastAsia" w:ascii="宋体" w:hAnsi="宋体" w:eastAsia="宋体" w:cs="宋体"/>
          <w:sz w:val="28"/>
          <w:szCs w:val="28"/>
        </w:rPr>
        <w:t>如我方中标：</w:t>
      </w:r>
      <w:bookmarkEnd w:id="37"/>
    </w:p>
    <w:p>
      <w:pPr>
        <w:numPr>
          <w:ilvl w:val="1"/>
          <w:numId w:val="7"/>
        </w:numPr>
        <w:bidi w:val="0"/>
        <w:ind w:left="567" w:leftChars="0" w:hanging="56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我方承诺在收到中标通知后，在规定的期限内与你方签订合同。</w:t>
      </w:r>
    </w:p>
    <w:p>
      <w:pPr>
        <w:numPr>
          <w:ilvl w:val="1"/>
          <w:numId w:val="7"/>
        </w:numPr>
        <w:bidi w:val="0"/>
        <w:ind w:left="567" w:leftChars="0" w:hanging="56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（其他补充说明）。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 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 投标人(公章)：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>
      <w:pPr>
        <w:numPr>
          <w:ilvl w:val="0"/>
          <w:numId w:val="0"/>
        </w:numPr>
        <w:bidi w:val="0"/>
        <w:ind w:left="0" w:leftChars="0" w:firstLine="0" w:firstLineChars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法人代表或授权委托人（签字或印章）：          </w:t>
      </w:r>
    </w:p>
    <w:p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6"/>
        </w:numPr>
        <w:bidi w:val="0"/>
        <w:ind w:left="0" w:leftChars="0" w:firstLine="420" w:firstLineChars="0"/>
        <w:jc w:val="center"/>
        <w:outlineLvl w:val="1"/>
        <w:rPr>
          <w:rStyle w:val="35"/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  <w:bookmarkStart w:id="38" w:name="_Toc26543"/>
      <w:bookmarkStart w:id="39" w:name="_Toc19625"/>
      <w:r>
        <w:rPr>
          <w:rStyle w:val="35"/>
          <w:rFonts w:hint="eastAsia"/>
        </w:rPr>
        <w:t>谈判响应报价表（格式）</w:t>
      </w:r>
      <w:bookmarkEnd w:id="38"/>
      <w:bookmarkEnd w:id="39"/>
    </w:p>
    <w:tbl>
      <w:tblPr>
        <w:tblStyle w:val="2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60"/>
        <w:gridCol w:w="2474"/>
        <w:gridCol w:w="1835"/>
        <w:gridCol w:w="23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8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6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三号楼入口处道路沥青铺设工程招标项目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1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8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法定代表人或授权委托人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3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合计（大写）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2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注：1、总报价应包含磋商文件所确定的采购范围内的全部内容，含税。</w:t>
      </w:r>
    </w:p>
    <w:p>
      <w:pPr>
        <w:bidi w:val="0"/>
        <w:rPr>
          <w:rFonts w:hint="eastAsia"/>
        </w:rPr>
      </w:pPr>
      <w:bookmarkStart w:id="40" w:name="_Toc28122"/>
      <w:r>
        <w:rPr>
          <w:rFonts w:hint="eastAsia"/>
        </w:rPr>
        <w:t>2、投标供应商必须据实填写此表，项目报价不得超过预算。</w:t>
      </w:r>
      <w:bookmarkEnd w:id="40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bookmarkStart w:id="41" w:name="_Toc26951"/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pStyle w:val="4"/>
        <w:numPr>
          <w:ilvl w:val="0"/>
          <w:numId w:val="6"/>
        </w:numPr>
        <w:bidi w:val="0"/>
        <w:ind w:left="0" w:leftChars="0" w:firstLine="420" w:firstLineChars="0"/>
        <w:rPr>
          <w:rFonts w:hint="eastAsia"/>
          <w:lang w:eastAsia="zh-CN"/>
        </w:rPr>
      </w:pPr>
      <w:bookmarkStart w:id="42" w:name="_Toc1153"/>
      <w:r>
        <w:rPr>
          <w:rFonts w:hint="eastAsia"/>
        </w:rPr>
        <w:t>法定代表人身份证明</w:t>
      </w:r>
      <w:bookmarkEnd w:id="41"/>
      <w:r>
        <w:rPr>
          <w:rFonts w:hint="eastAsia"/>
          <w:lang w:eastAsia="zh-CN"/>
        </w:rPr>
        <w:t>书</w:t>
      </w:r>
      <w:bookmarkEnd w:id="42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 标 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单位性质：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 址：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     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性     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  龄：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职     务：</w:t>
      </w:r>
      <w:r>
        <w:rPr>
          <w:rFonts w:hint="eastAsia" w:ascii="宋体" w:hAnsi="宋体" w:eastAsia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系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(投标人名称)的法定代表人。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(盖公章)</w: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numPr>
          <w:ilvl w:val="0"/>
          <w:numId w:val="6"/>
        </w:numPr>
        <w:bidi w:val="0"/>
        <w:ind w:left="0" w:leftChars="0" w:firstLine="420" w:firstLineChars="0"/>
        <w:rPr>
          <w:rFonts w:hint="eastAsia"/>
        </w:rPr>
      </w:pPr>
      <w:bookmarkStart w:id="43" w:name="_Toc10458"/>
      <w:bookmarkStart w:id="44" w:name="_Toc16817"/>
      <w:r>
        <w:rPr>
          <w:rFonts w:hint="eastAsia"/>
        </w:rPr>
        <w:t>法定代表人授权委托书</w:t>
      </w:r>
      <w:bookmarkEnd w:id="43"/>
      <w:bookmarkEnd w:id="44"/>
    </w:p>
    <w:p>
      <w:pPr>
        <w:numPr>
          <w:ilvl w:val="0"/>
          <w:numId w:val="0"/>
        </w:numPr>
        <w:bidi w:val="0"/>
        <w:ind w:left="42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本人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（姓名）系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（投标人名称）的法定代表人，现委托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（项目名称）标段施工投标文件、签订合同和处理有关事宜，其法律后果由我方承担。</w:t>
      </w:r>
    </w:p>
    <w:p>
      <w:pPr>
        <w:numPr>
          <w:ilvl w:val="0"/>
          <w:numId w:val="0"/>
        </w:numPr>
        <w:bidi w:val="0"/>
        <w:ind w:left="420"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委托期限：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代理人无转委托权。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附：法定代表人身份证明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    标   人：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（盖单位章）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（签字）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委托代理人：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（签字）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日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期：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45" w:name="_Toc28085"/>
      <w:bookmarkStart w:id="46" w:name="_Toc18040"/>
    </w:p>
    <w:p>
      <w:pPr>
        <w:pStyle w:val="4"/>
        <w:numPr>
          <w:ilvl w:val="0"/>
          <w:numId w:val="6"/>
        </w:numPr>
        <w:bidi w:val="0"/>
        <w:ind w:left="0" w:leftChars="0" w:firstLine="420" w:firstLineChars="0"/>
        <w:rPr>
          <w:rFonts w:hint="eastAsia"/>
        </w:rPr>
      </w:pPr>
      <w:bookmarkStart w:id="47" w:name="_Toc1962"/>
      <w:r>
        <w:rPr>
          <w:rFonts w:hint="eastAsia"/>
        </w:rPr>
        <w:t>资格审查资料</w:t>
      </w:r>
      <w:bookmarkEnd w:id="47"/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投标供应商基本情况表</w:t>
      </w:r>
      <w:bookmarkEnd w:id="45"/>
    </w:p>
    <w:tbl>
      <w:tblPr>
        <w:tblStyle w:val="22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964"/>
        <w:gridCol w:w="1714"/>
        <w:gridCol w:w="1415"/>
        <w:gridCol w:w="1305"/>
        <w:gridCol w:w="762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投标供应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商</w:t>
            </w:r>
          </w:p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0"/>
              </w:rPr>
              <w:t>名称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注册地</w:t>
            </w:r>
            <w:r>
              <w:rPr>
                <w:rFonts w:hint="eastAsia" w:ascii="宋体" w:hAnsi="宋体" w:eastAsia="宋体" w:cs="宋体"/>
                <w:spacing w:val="0"/>
              </w:rPr>
              <w:t>址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邮政编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码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联系方</w:t>
            </w:r>
            <w:r>
              <w:rPr>
                <w:rFonts w:hint="eastAsia" w:ascii="宋体" w:hAnsi="宋体" w:eastAsia="宋体" w:cs="宋体"/>
                <w:spacing w:val="0"/>
              </w:rPr>
              <w:t>式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联系</w:t>
            </w:r>
            <w:r>
              <w:rPr>
                <w:rFonts w:hint="eastAsia" w:ascii="宋体" w:hAnsi="宋体" w:eastAsia="宋体" w:cs="宋体"/>
                <w:spacing w:val="0"/>
              </w:rPr>
              <w:t>人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53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传</w:t>
            </w:r>
            <w:r>
              <w:rPr>
                <w:rFonts w:hint="eastAsia" w:ascii="宋体" w:hAnsi="宋体" w:eastAsia="宋体" w:cs="宋体"/>
                <w:spacing w:val="0"/>
              </w:rPr>
              <w:t>真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网</w:t>
            </w:r>
            <w:r>
              <w:rPr>
                <w:rFonts w:hint="eastAsia" w:ascii="宋体" w:hAnsi="宋体" w:eastAsia="宋体" w:cs="宋体"/>
                <w:spacing w:val="0"/>
              </w:rPr>
              <w:t>址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组织结</w:t>
            </w:r>
            <w:r>
              <w:rPr>
                <w:rFonts w:hint="eastAsia" w:ascii="宋体" w:hAnsi="宋体" w:eastAsia="宋体" w:cs="宋体"/>
                <w:spacing w:val="0"/>
              </w:rPr>
              <w:t>构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法定代表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技术负责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成立时</w:t>
            </w:r>
            <w:r>
              <w:rPr>
                <w:rFonts w:hint="eastAsia" w:ascii="宋体" w:hAnsi="宋体" w:eastAsia="宋体" w:cs="宋体"/>
                <w:spacing w:val="0"/>
              </w:rPr>
              <w:t>间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员工人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数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78"/>
              </w:rPr>
              <w:t>企业资质等</w:t>
            </w:r>
            <w:r>
              <w:rPr>
                <w:rFonts w:hint="eastAsia" w:ascii="宋体" w:hAnsi="宋体" w:eastAsia="宋体" w:cs="宋体"/>
                <w:spacing w:val="0"/>
                <w:w w:val="78"/>
              </w:rPr>
              <w:t>级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其</w:t>
            </w:r>
            <w:r>
              <w:rPr>
                <w:rFonts w:hint="eastAsia" w:ascii="宋体" w:hAnsi="宋体" w:eastAsia="宋体" w:cs="宋体"/>
                <w:spacing w:val="0"/>
              </w:rPr>
              <w:t>中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项目经</w:t>
            </w:r>
            <w:r>
              <w:rPr>
                <w:rFonts w:hint="eastAsia" w:ascii="宋体" w:hAnsi="宋体" w:eastAsia="宋体" w:cs="宋体"/>
                <w:spacing w:val="0"/>
              </w:rPr>
              <w:t>理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营业执照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高级职称人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注册资</w:t>
            </w:r>
            <w:r>
              <w:rPr>
                <w:rFonts w:hint="eastAsia" w:ascii="宋体" w:hAnsi="宋体" w:eastAsia="宋体" w:cs="宋体"/>
                <w:spacing w:val="0"/>
              </w:rPr>
              <w:t>金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48"/>
              </w:rPr>
              <w:t>（万元</w:t>
            </w:r>
            <w:r>
              <w:rPr>
                <w:rFonts w:hint="eastAsia" w:ascii="宋体" w:hAnsi="宋体" w:eastAsia="宋体" w:cs="宋体"/>
                <w:spacing w:val="0"/>
              </w:rPr>
              <w:t>）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中级职称人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开户银</w:t>
            </w:r>
            <w:r>
              <w:rPr>
                <w:rFonts w:hint="eastAsia" w:ascii="宋体" w:hAnsi="宋体" w:eastAsia="宋体" w:cs="宋体"/>
                <w:spacing w:val="0"/>
              </w:rPr>
              <w:t>行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初级职称人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23"/>
              </w:rPr>
              <w:t>账</w:t>
            </w:r>
            <w:r>
              <w:rPr>
                <w:rFonts w:hint="eastAsia" w:ascii="宋体" w:hAnsi="宋体" w:eastAsia="宋体" w:cs="宋体"/>
                <w:spacing w:val="0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99"/>
              </w:rPr>
              <w:t>技</w:t>
            </w:r>
            <w:r>
              <w:rPr>
                <w:rFonts w:hint="eastAsia" w:ascii="宋体" w:hAnsi="宋体" w:eastAsia="宋体" w:cs="宋体"/>
                <w:spacing w:val="0"/>
              </w:rPr>
              <w:t>工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经营范</w:t>
            </w:r>
            <w:r>
              <w:rPr>
                <w:rFonts w:hint="eastAsia" w:ascii="宋体" w:hAnsi="宋体" w:eastAsia="宋体" w:cs="宋体"/>
                <w:spacing w:val="0"/>
              </w:rPr>
              <w:t>围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23"/>
              </w:rPr>
              <w:t>备</w:t>
            </w:r>
            <w:r>
              <w:rPr>
                <w:rFonts w:hint="eastAsia" w:ascii="宋体" w:hAnsi="宋体" w:eastAsia="宋体" w:cs="宋体"/>
                <w:spacing w:val="0"/>
              </w:rPr>
              <w:t>注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</w:tbl>
    <w:p>
      <w:pPr>
        <w:bidi w:val="0"/>
        <w:rPr>
          <w:rFonts w:hint="eastAsia" w:ascii="宋体" w:hAnsi="宋体" w:eastAsia="宋体" w:cs="宋体"/>
          <w:szCs w:val="28"/>
        </w:rPr>
      </w:pPr>
      <w:r>
        <w:rPr>
          <w:rFonts w:hint="eastAsia"/>
        </w:rPr>
        <w:t>备注：1.本表后应附资质要求对应的相关证明材料复印件；2.无响应指标的应写明无。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bookmarkStart w:id="48" w:name="_Toc15698"/>
      <w:r>
        <w:rPr>
          <w:rFonts w:hint="eastAsia" w:ascii="宋体" w:hAnsi="宋体" w:eastAsia="宋体" w:cs="宋体"/>
          <w:sz w:val="28"/>
          <w:szCs w:val="28"/>
        </w:rPr>
        <w:t>附：</w:t>
      </w:r>
    </w:p>
    <w:p>
      <w:pPr>
        <w:pStyle w:val="5"/>
        <w:numPr>
          <w:ilvl w:val="0"/>
          <w:numId w:val="8"/>
        </w:numPr>
        <w:bidi w:val="0"/>
        <w:ind w:left="0" w:leftChars="0" w:firstLine="420" w:firstLineChars="0"/>
        <w:jc w:val="center"/>
        <w:rPr>
          <w:rFonts w:hint="eastAsia"/>
          <w:sz w:val="28"/>
          <w:szCs w:val="28"/>
        </w:rPr>
      </w:pPr>
      <w:bookmarkStart w:id="49" w:name="_Toc31248"/>
      <w:r>
        <w:rPr>
          <w:rFonts w:hint="eastAsia" w:eastAsia="宋体"/>
        </w:rPr>
        <w:t>独立承担民事责任的能力</w:t>
      </w:r>
      <w:bookmarkEnd w:id="48"/>
      <w:bookmarkEnd w:id="49"/>
    </w:p>
    <w:p>
      <w:pPr>
        <w:numPr>
          <w:ilvl w:val="0"/>
          <w:numId w:val="9"/>
        </w:numPr>
        <w:bidi w:val="0"/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</w:rPr>
        <w:t>营业执照</w:t>
      </w:r>
      <w:r>
        <w:rPr>
          <w:rFonts w:hint="eastAsia"/>
          <w:lang w:val="en-US" w:eastAsia="zh-CN"/>
        </w:rPr>
        <w:t>（复印件盖公章）</w:t>
      </w:r>
    </w:p>
    <w:p>
      <w:pPr>
        <w:numPr>
          <w:ilvl w:val="0"/>
          <w:numId w:val="9"/>
        </w:numPr>
        <w:bidi w:val="0"/>
        <w:ind w:left="960" w:leftChars="200" w:hanging="48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市政工程、建筑工程、公路工程等相关专业承包叁级及以上证明材料（复印件盖公章）。</w:t>
      </w:r>
    </w:p>
    <w:p>
      <w:pPr>
        <w:numPr>
          <w:ilvl w:val="0"/>
          <w:numId w:val="9"/>
        </w:numPr>
        <w:bidi w:val="0"/>
        <w:ind w:left="0" w:leftChars="0" w:firstLine="480" w:firstLineChars="200"/>
        <w:rPr>
          <w:rFonts w:hint="eastAsia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/>
          <w:lang w:val="en-US" w:eastAsia="zh-CN"/>
        </w:rPr>
        <w:t>合法有效的安全生产许可证（复印件盖公章）</w:t>
      </w:r>
    </w:p>
    <w:p>
      <w:pPr>
        <w:pStyle w:val="5"/>
        <w:numPr>
          <w:ilvl w:val="0"/>
          <w:numId w:val="8"/>
        </w:numPr>
        <w:bidi w:val="0"/>
        <w:ind w:left="0" w:leftChars="0" w:firstLine="420" w:firstLineChars="0"/>
        <w:jc w:val="center"/>
        <w:rPr>
          <w:rFonts w:hint="eastAsia"/>
        </w:rPr>
      </w:pPr>
      <w:bookmarkStart w:id="50" w:name="_Toc24349"/>
      <w:bookmarkStart w:id="51" w:name="_Toc29012"/>
      <w:r>
        <w:rPr>
          <w:rFonts w:hint="eastAsia"/>
        </w:rPr>
        <w:t>资格承诺函</w:t>
      </w:r>
      <w:bookmarkEnd w:id="50"/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丹阳市人民医院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我单位参与（项目名称）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）项目的采购活动，现承诺如下：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1．我方具有良好的商业信誉和健全的财务会计制度。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2．我方具有履行合同所必需的设备和专业技术能力。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3．我方具有依法缴纳税收和社会保障资金的良好记录。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4．我方参加本项目采购活动前三年内，在经营活动中没有重大违法记录。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若我单位承诺不实，自愿承担提供虚假材料谋取中标、成交的法律责任。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投标（响应）供应商（全称并盖章）：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供应商法定代表人或授权代表（签字或签章）：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bookmarkEnd w:id="51"/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说明：1．供应商可自行选择是否提供本承诺函，若不提供本承诺函的，应按采购文件要求提供相应的证明材料。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5"/>
        <w:numPr>
          <w:ilvl w:val="0"/>
          <w:numId w:val="8"/>
        </w:numPr>
        <w:bidi w:val="0"/>
        <w:ind w:left="0" w:leftChars="0" w:firstLine="420" w:firstLineChars="0"/>
        <w:jc w:val="center"/>
        <w:rPr>
          <w:rFonts w:hint="eastAsia"/>
        </w:rPr>
      </w:pPr>
      <w:bookmarkStart w:id="52" w:name="_Toc8108"/>
      <w:r>
        <w:rPr>
          <w:rFonts w:hint="eastAsia"/>
        </w:rPr>
        <w:t>现场踏勘确认书</w:t>
      </w:r>
      <w:bookmarkEnd w:id="52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致: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丹阳市人民医院</w:t>
      </w:r>
    </w:p>
    <w:p>
      <w:pPr>
        <w:numPr>
          <w:ilvl w:val="0"/>
          <w:numId w:val="0"/>
        </w:numPr>
        <w:bidi w:val="0"/>
        <w:ind w:left="42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我司已按招标文件要求踏勘了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  （项目名称）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施工</w:t>
      </w:r>
      <w:r>
        <w:rPr>
          <w:rFonts w:hint="eastAsia" w:ascii="宋体" w:hAnsi="宋体" w:eastAsia="宋体" w:cs="宋体"/>
          <w:sz w:val="28"/>
          <w:szCs w:val="28"/>
        </w:rPr>
        <w:t>现场，取得了所有与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有关的资料，并充分了解了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维修内容、维修方式方法、</w:t>
      </w:r>
      <w:r>
        <w:rPr>
          <w:rFonts w:hint="eastAsia" w:ascii="宋体" w:hAnsi="宋体" w:eastAsia="宋体" w:cs="宋体"/>
          <w:sz w:val="28"/>
          <w:szCs w:val="28"/>
        </w:rPr>
        <w:t>工地的位置、邻近建(构)筑物、临时设施、临时水电、临时道路、场地布置、起卸吊运限制、垂直运输、物料搬(转)运、现场在建施工单位等足以影响投标报价的其它情况，由此可能发生的任何费用我司均在投标报价中子以综合考虑。并郑重承诺若我司中标后，将不会以不了解现场为由，提出投标报价以外的任何费用要求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投标单位(签署及盖章)</w: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2024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bookmarkEnd w:id="46"/>
    <w:p>
      <w:pPr>
        <w:pStyle w:val="4"/>
        <w:numPr>
          <w:ilvl w:val="0"/>
          <w:numId w:val="10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53" w:name="_Toc24976"/>
      <w:r>
        <w:rPr>
          <w:rFonts w:hint="eastAsia"/>
          <w:lang w:val="en-US" w:eastAsia="zh-CN"/>
        </w:rPr>
        <w:t>技术要求响应偏离表</w:t>
      </w:r>
      <w:bookmarkEnd w:id="53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</w:t>
      </w:r>
    </w:p>
    <w:tbl>
      <w:tblPr>
        <w:tblStyle w:val="22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314"/>
        <w:gridCol w:w="3019"/>
        <w:gridCol w:w="928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采购文件规定的技术和服务要求</w:t>
            </w: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是否偏离</w:t>
            </w: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（供应商公章）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年     月     日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“采购文件规定的技术和服务要求”应与招标文件中采购需求的“技术和服务要求”的内容保持一致。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当如实填写上表“投标文件响应的具体内容”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“是否偏离”项下应按下列规定填写：优于的，填写“正偏离”；符合的，填写“无偏离”；低于的，填写“负偏离”。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“备注”处可填写偏离情况的说明。</w:t>
      </w:r>
    </w:p>
    <w:p>
      <w:pPr>
        <w:pStyle w:val="4"/>
        <w:numPr>
          <w:ilvl w:val="0"/>
          <w:numId w:val="11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54" w:name="_Toc22814"/>
      <w:r>
        <w:rPr>
          <w:rFonts w:hint="eastAsia"/>
          <w:lang w:val="en-US" w:eastAsia="zh-CN"/>
        </w:rPr>
        <w:t>商务响应偏离表</w:t>
      </w:r>
      <w:bookmarkEnd w:id="54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</w:p>
    <w:tbl>
      <w:tblPr>
        <w:tblStyle w:val="2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04"/>
        <w:gridCol w:w="2929"/>
        <w:gridCol w:w="1436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采购文件规定的商务条件</w:t>
            </w: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是否偏离</w:t>
            </w: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（供应商公章）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年     月     日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“采购文件规定的商务条件”项下填写的内容应与招标文件中采购需求的 “商务要求”的内容保持一致。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投标人应当如实填写上表“投标文件响应的具体内容”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“是否偏离”项下应按下列规定填写：优于的，填写“正偏离”；符合的，填写“无偏离”；低于的，填写“负偏离”。</w:t>
      </w:r>
    </w:p>
    <w:p>
      <w:pPr>
        <w:bidi w:val="0"/>
        <w:rPr>
          <w:sz w:val="24"/>
          <w:szCs w:val="24"/>
        </w:rPr>
      </w:pPr>
      <w:bookmarkStart w:id="55" w:name="_Toc30556"/>
      <w:r>
        <w:rPr>
          <w:rFonts w:hint="eastAsia" w:ascii="宋体" w:hAnsi="宋体" w:eastAsia="宋体" w:cs="宋体"/>
        </w:rPr>
        <w:t>4. “备注”处可填写偏离情况的说明。</w:t>
      </w:r>
      <w:bookmarkEnd w:id="55"/>
    </w:p>
    <w:sectPr>
      <w:pgSz w:w="11906" w:h="16838"/>
      <w:pgMar w:top="1440" w:right="1140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379AF"/>
    <w:multiLevelType w:val="singleLevel"/>
    <w:tmpl w:val="8DE379AF"/>
    <w:lvl w:ilvl="0" w:tentative="0">
      <w:start w:val="6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9004B098"/>
    <w:multiLevelType w:val="multilevel"/>
    <w:tmpl w:val="9004B098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B5F4CE55"/>
    <w:multiLevelType w:val="multilevel"/>
    <w:tmpl w:val="B5F4CE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D57DC391"/>
    <w:multiLevelType w:val="singleLevel"/>
    <w:tmpl w:val="D57DC39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E824377E"/>
    <w:multiLevelType w:val="singleLevel"/>
    <w:tmpl w:val="E824377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EADE1ED2"/>
    <w:multiLevelType w:val="multilevel"/>
    <w:tmpl w:val="EADE1E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6">
    <w:nsid w:val="F4EF2DCC"/>
    <w:multiLevelType w:val="singleLevel"/>
    <w:tmpl w:val="F4EF2DC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199F0E3A"/>
    <w:multiLevelType w:val="multilevel"/>
    <w:tmpl w:val="199F0E3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8">
    <w:nsid w:val="1F6D417A"/>
    <w:multiLevelType w:val="multilevel"/>
    <w:tmpl w:val="1F6D417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4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9">
    <w:nsid w:val="343AADD4"/>
    <w:multiLevelType w:val="singleLevel"/>
    <w:tmpl w:val="343AADD4"/>
    <w:lvl w:ilvl="0" w:tentative="0">
      <w:start w:val="7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0">
    <w:nsid w:val="758AF87B"/>
    <w:multiLevelType w:val="singleLevel"/>
    <w:tmpl w:val="758AF87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154230C"/>
    <w:rsid w:val="020A2568"/>
    <w:rsid w:val="02BF0358"/>
    <w:rsid w:val="04425FE9"/>
    <w:rsid w:val="061439B5"/>
    <w:rsid w:val="09294C09"/>
    <w:rsid w:val="0B1F5EC8"/>
    <w:rsid w:val="0D3E3974"/>
    <w:rsid w:val="0D5F7C0C"/>
    <w:rsid w:val="0EFC0FC2"/>
    <w:rsid w:val="10035D90"/>
    <w:rsid w:val="10165F74"/>
    <w:rsid w:val="112D72E7"/>
    <w:rsid w:val="149633B3"/>
    <w:rsid w:val="14C14790"/>
    <w:rsid w:val="17166BB7"/>
    <w:rsid w:val="1872358D"/>
    <w:rsid w:val="199C4E41"/>
    <w:rsid w:val="19A2414E"/>
    <w:rsid w:val="19D5786F"/>
    <w:rsid w:val="1B50464C"/>
    <w:rsid w:val="1B592166"/>
    <w:rsid w:val="1C6232CC"/>
    <w:rsid w:val="1E5D3CF4"/>
    <w:rsid w:val="21AB121A"/>
    <w:rsid w:val="222776AC"/>
    <w:rsid w:val="25212EA4"/>
    <w:rsid w:val="26E20509"/>
    <w:rsid w:val="27AF7F38"/>
    <w:rsid w:val="28942C22"/>
    <w:rsid w:val="2B1167EC"/>
    <w:rsid w:val="2BAB28CF"/>
    <w:rsid w:val="2BEF5A7E"/>
    <w:rsid w:val="2D4D43CC"/>
    <w:rsid w:val="2EBD19FE"/>
    <w:rsid w:val="2F2D1212"/>
    <w:rsid w:val="309B756E"/>
    <w:rsid w:val="30F96FE4"/>
    <w:rsid w:val="31A66D08"/>
    <w:rsid w:val="32346F6E"/>
    <w:rsid w:val="33217710"/>
    <w:rsid w:val="356824AE"/>
    <w:rsid w:val="36FE4E33"/>
    <w:rsid w:val="37415068"/>
    <w:rsid w:val="38483D77"/>
    <w:rsid w:val="3989585D"/>
    <w:rsid w:val="3D385F8D"/>
    <w:rsid w:val="3F0E37CA"/>
    <w:rsid w:val="3F48163C"/>
    <w:rsid w:val="407777C7"/>
    <w:rsid w:val="40C1324F"/>
    <w:rsid w:val="40F7100D"/>
    <w:rsid w:val="418C7B4C"/>
    <w:rsid w:val="42EC3800"/>
    <w:rsid w:val="42F71016"/>
    <w:rsid w:val="43F502ED"/>
    <w:rsid w:val="44EF4B92"/>
    <w:rsid w:val="452964E4"/>
    <w:rsid w:val="45A25D72"/>
    <w:rsid w:val="47002253"/>
    <w:rsid w:val="4A967D1C"/>
    <w:rsid w:val="4AAB17C9"/>
    <w:rsid w:val="4B060DE4"/>
    <w:rsid w:val="4BA8289A"/>
    <w:rsid w:val="4C8E331F"/>
    <w:rsid w:val="4D3679D2"/>
    <w:rsid w:val="4DA35DAA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4674340"/>
    <w:rsid w:val="5699159A"/>
    <w:rsid w:val="584A577E"/>
    <w:rsid w:val="58DD3FB8"/>
    <w:rsid w:val="59705FB7"/>
    <w:rsid w:val="59F24396"/>
    <w:rsid w:val="5A0D01D8"/>
    <w:rsid w:val="5A46358F"/>
    <w:rsid w:val="5B376630"/>
    <w:rsid w:val="5BAB74D2"/>
    <w:rsid w:val="61091B6E"/>
    <w:rsid w:val="647C797D"/>
    <w:rsid w:val="65083ED2"/>
    <w:rsid w:val="69886DB2"/>
    <w:rsid w:val="69DC2875"/>
    <w:rsid w:val="6B814C60"/>
    <w:rsid w:val="6D5B386F"/>
    <w:rsid w:val="6F1B1316"/>
    <w:rsid w:val="6FC059F2"/>
    <w:rsid w:val="71962296"/>
    <w:rsid w:val="71A548FD"/>
    <w:rsid w:val="73282E7D"/>
    <w:rsid w:val="73440DCB"/>
    <w:rsid w:val="74F95B2E"/>
    <w:rsid w:val="77035D31"/>
    <w:rsid w:val="78C21364"/>
    <w:rsid w:val="79452192"/>
    <w:rsid w:val="796678F5"/>
    <w:rsid w:val="796D14E2"/>
    <w:rsid w:val="796E798B"/>
    <w:rsid w:val="7AED2C21"/>
    <w:rsid w:val="7B4C7DFC"/>
    <w:rsid w:val="7C064B9A"/>
    <w:rsid w:val="7E321C5F"/>
    <w:rsid w:val="7FF91E78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numPr>
        <w:ilvl w:val="0"/>
        <w:numId w:val="0"/>
      </w:numPr>
      <w:spacing w:beforeAutospacing="1" w:afterAutospacing="1"/>
      <w:ind w:left="432" w:hanging="432"/>
      <w:jc w:val="center"/>
      <w:outlineLvl w:val="0"/>
    </w:pPr>
    <w:rPr>
      <w:rFonts w:hint="eastAsia" w:ascii="宋体" w:hAnsi="宋体" w:cs="Times New Roman"/>
      <w:b/>
      <w:bCs/>
      <w:kern w:val="44"/>
      <w:sz w:val="32"/>
      <w:szCs w:val="48"/>
    </w:rPr>
  </w:style>
  <w:style w:type="paragraph" w:styleId="4">
    <w:name w:val="heading 2"/>
    <w:basedOn w:val="1"/>
    <w:next w:val="1"/>
    <w:link w:val="35"/>
    <w:autoRedefine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line="413" w:lineRule="auto"/>
      <w:jc w:val="center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38"/>
    <w:autoRedefine/>
    <w:unhideWhenUsed/>
    <w:qFormat/>
    <w:uiPriority w:val="0"/>
    <w:pPr>
      <w:keepNext/>
      <w:keepLines/>
      <w:numPr>
        <w:ilvl w:val="2"/>
        <w:numId w:val="0"/>
      </w:numPr>
      <w:spacing w:line="240" w:lineRule="auto"/>
      <w:outlineLvl w:val="2"/>
    </w:pPr>
    <w:rPr>
      <w:b/>
      <w:sz w:val="28"/>
    </w:rPr>
  </w:style>
  <w:style w:type="paragraph" w:styleId="6">
    <w:name w:val="heading 4"/>
    <w:basedOn w:val="1"/>
    <w:next w:val="1"/>
    <w:link w:val="27"/>
    <w:autoRedefine/>
    <w:unhideWhenUsed/>
    <w:qFormat/>
    <w:uiPriority w:val="0"/>
    <w:pPr>
      <w:keepNext/>
      <w:keepLines/>
      <w:numPr>
        <w:ilvl w:val="3"/>
        <w:numId w:val="2"/>
      </w:numPr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2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2"/>
      </w:numPr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2"/>
      </w:numPr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autoRedefine/>
    <w:qFormat/>
    <w:uiPriority w:val="34"/>
    <w:pPr>
      <w:ind w:firstLine="420"/>
    </w:pPr>
    <w:rPr>
      <w:rFonts w:ascii="Calibri" w:hAnsi="Calibri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rPr>
      <w:rFonts w:ascii="楷体_GB2312" w:hAnsi="Arial" w:eastAsia="楷体_GB2312"/>
      <w:sz w:val="28"/>
      <w:szCs w:val="28"/>
    </w:rPr>
  </w:style>
  <w:style w:type="paragraph" w:styleId="14">
    <w:name w:val="Body Text Indent"/>
    <w:basedOn w:val="1"/>
    <w:next w:val="15"/>
    <w:link w:val="31"/>
    <w:autoRedefine/>
    <w:qFormat/>
    <w:uiPriority w:val="0"/>
    <w:pPr>
      <w:ind w:firstLine="795"/>
    </w:pPr>
    <w:rPr>
      <w:sz w:val="32"/>
      <w:szCs w:val="32"/>
    </w:rPr>
  </w:style>
  <w:style w:type="paragraph" w:styleId="1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6">
    <w:name w:val="toc 3"/>
    <w:basedOn w:val="1"/>
    <w:next w:val="1"/>
    <w:autoRedefine/>
    <w:qFormat/>
    <w:uiPriority w:val="0"/>
    <w:pPr>
      <w:ind w:left="840" w:leftChars="400"/>
    </w:pPr>
  </w:style>
  <w:style w:type="paragraph" w:styleId="17">
    <w:name w:val="Date"/>
    <w:basedOn w:val="1"/>
    <w:next w:val="1"/>
    <w:autoRedefine/>
    <w:qFormat/>
    <w:uiPriority w:val="0"/>
  </w:style>
  <w:style w:type="paragraph" w:styleId="18">
    <w:name w:val="Balloon Text"/>
    <w:basedOn w:val="1"/>
    <w:link w:val="34"/>
    <w:autoRedefine/>
    <w:qFormat/>
    <w:uiPriority w:val="0"/>
    <w:rPr>
      <w:sz w:val="18"/>
      <w:szCs w:val="18"/>
    </w:rPr>
  </w:style>
  <w:style w:type="paragraph" w:styleId="19">
    <w:name w:val="toc 1"/>
    <w:basedOn w:val="1"/>
    <w:next w:val="1"/>
    <w:autoRedefine/>
    <w:qFormat/>
    <w:uiPriority w:val="0"/>
  </w:style>
  <w:style w:type="paragraph" w:styleId="20">
    <w:name w:val="toc 2"/>
    <w:basedOn w:val="1"/>
    <w:next w:val="1"/>
    <w:autoRedefine/>
    <w:qFormat/>
    <w:uiPriority w:val="0"/>
    <w:pPr>
      <w:ind w:left="420" w:leftChars="200"/>
    </w:pPr>
  </w:style>
  <w:style w:type="paragraph" w:styleId="21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23">
    <w:name w:val="Table Grid"/>
    <w:basedOn w:val="2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autoRedefine/>
    <w:qFormat/>
    <w:uiPriority w:val="22"/>
    <w:rPr>
      <w:b/>
      <w:bCs/>
    </w:rPr>
  </w:style>
  <w:style w:type="paragraph" w:customStyle="1" w:styleId="26">
    <w:name w:val="正文（缩进）"/>
    <w:basedOn w:val="1"/>
    <w:autoRedefine/>
    <w:qFormat/>
    <w:uiPriority w:val="0"/>
    <w:pPr>
      <w:ind w:firstLine="480" w:firstLineChars="200"/>
    </w:pPr>
  </w:style>
  <w:style w:type="character" w:customStyle="1" w:styleId="27">
    <w:name w:val="标题 4 Char"/>
    <w:link w:val="6"/>
    <w:autoRedefine/>
    <w:qFormat/>
    <w:uiPriority w:val="0"/>
    <w:rPr>
      <w:rFonts w:ascii="Arial" w:hAnsi="Arial" w:eastAsia="微软雅黑"/>
      <w:sz w:val="24"/>
    </w:rPr>
  </w:style>
  <w:style w:type="paragraph" w:customStyle="1" w:styleId="28">
    <w:name w:val="Body text|2"/>
    <w:basedOn w:val="1"/>
    <w:autoRedefine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9">
    <w:name w:val="Other|1"/>
    <w:basedOn w:val="1"/>
    <w:autoRedefine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30">
    <w:name w:val="正文1"/>
    <w:autoRedefine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31">
    <w:name w:val="正文文本缩进 Char"/>
    <w:link w:val="14"/>
    <w:autoRedefine/>
    <w:qFormat/>
    <w:uiPriority w:val="0"/>
    <w:rPr>
      <w:color w:val="auto"/>
      <w:sz w:val="32"/>
      <w:szCs w:val="32"/>
    </w:rPr>
  </w:style>
  <w:style w:type="character" w:customStyle="1" w:styleId="32">
    <w:name w:val="font11"/>
    <w:basedOn w:val="2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01"/>
    <w:basedOn w:val="2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4">
    <w:name w:val="批注框文本 Char"/>
    <w:basedOn w:val="24"/>
    <w:link w:val="18"/>
    <w:autoRedefine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5">
    <w:name w:val="标题 2 字符"/>
    <w:link w:val="4"/>
    <w:autoRedefine/>
    <w:qFormat/>
    <w:uiPriority w:val="0"/>
    <w:rPr>
      <w:rFonts w:ascii="Arial" w:hAnsi="Arial" w:eastAsia="黑体"/>
      <w:b/>
      <w:sz w:val="32"/>
    </w:rPr>
  </w:style>
  <w:style w:type="paragraph" w:customStyle="1" w:styleId="36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3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8">
    <w:name w:val="标题 3 Char"/>
    <w:link w:val="5"/>
    <w:autoRedefine/>
    <w:qFormat/>
    <w:uiPriority w:val="0"/>
    <w:rPr>
      <w:rFonts w:eastAsia="宋体"/>
      <w:b/>
      <w:sz w:val="28"/>
    </w:rPr>
  </w:style>
  <w:style w:type="paragraph" w:customStyle="1" w:styleId="39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0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1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2">
    <w:name w:val="Normal_0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3058</Words>
  <Characters>3202</Characters>
  <Lines>24</Lines>
  <Paragraphs>6</Paragraphs>
  <TotalTime>0</TotalTime>
  <ScaleCrop>false</ScaleCrop>
  <LinksUpToDate>false</LinksUpToDate>
  <CharactersWithSpaces>4228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2024-04-19T00:05:18Z</cp:lastPrinted>
  <dcterms:modified xsi:type="dcterms:W3CDTF">2024-04-19T00:06:12Z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A03C13A6387D4ACDA78E94425234EA81_13</vt:lpwstr>
  </property>
</Properties>
</file>