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</w:t>
      </w:r>
      <w:r>
        <w:rPr>
          <w:rFonts w:hint="eastAsia"/>
          <w:lang w:val="en-US" w:eastAsia="zh-CN"/>
        </w:rPr>
        <w:t>9号楼外立面发光灯箱院徽维修</w:t>
      </w:r>
      <w:r>
        <w:rPr>
          <w:rFonts w:hint="eastAsia"/>
        </w:rPr>
        <w:t>采购需求</w:t>
      </w:r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14336"/>
      <w:bookmarkStart w:id="2" w:name="_Toc873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名称：丹阳市人民医院</w:t>
      </w:r>
      <w:r>
        <w:rPr>
          <w:rFonts w:hint="eastAsia"/>
          <w:lang w:val="en-US" w:eastAsia="zh-CN"/>
        </w:rPr>
        <w:t>9号楼外立面发光灯箱院徽维修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DRY-CG-202400</w:t>
      </w:r>
      <w:r>
        <w:rPr>
          <w:rFonts w:hint="eastAsia"/>
          <w:lang w:val="en-US" w:eastAsia="zh-CN"/>
        </w:rPr>
        <w:t>8；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</w:t>
      </w:r>
      <w:r>
        <w:rPr>
          <w:rFonts w:hint="eastAsia"/>
          <w:lang w:val="en-US" w:eastAsia="zh-CN"/>
        </w:rPr>
        <w:t>40000元。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18756"/>
      <w:bookmarkStart w:id="4" w:name="_Toc3661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4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25 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30 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下午2:30-5:30；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bookmarkStart w:id="54" w:name="_GoBack"/>
      <w:bookmarkEnd w:id="54"/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25669"/>
      <w:bookmarkStart w:id="6" w:name="_Toc1103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资质要求：</w:t>
      </w:r>
      <w:bookmarkEnd w:id="5"/>
      <w:bookmarkEnd w:id="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有依法缴纳税收和社会保障资金的良好记录：有依法缴纳税收和社会保障资金的良好记录（提供资格承诺函）。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具有良好的商业信誉和健全的财务会计制度：供应商必须具有良好的商业信誉和健全的财务会计制度（提供资格承诺函） 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履行合同所必需的设备和专业技术能力：按投标（响应）文件格式填报设备及专业技术能力情况（提供资格承诺函）。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</w:p>
    <w:p>
      <w:pPr>
        <w:numPr>
          <w:ilvl w:val="2"/>
          <w:numId w:val="3"/>
        </w:numPr>
        <w:bidi w:val="0"/>
        <w:ind w:left="709" w:leftChars="0" w:hanging="709" w:firstLineChars="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提供</w:t>
      </w:r>
      <w:r>
        <w:rPr>
          <w:rFonts w:hint="eastAsia"/>
        </w:rPr>
        <w:t>现场踏勘确认书</w:t>
      </w:r>
      <w:r>
        <w:rPr>
          <w:rFonts w:hint="eastAsia" w:eastAsia="宋体"/>
          <w:lang w:val="en-US" w:eastAsia="zh-CN"/>
        </w:rPr>
        <w:t>，未提供作无效投标处理。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13744"/>
      <w:bookmarkStart w:id="8" w:name="_Toc26948"/>
      <w:r>
        <w:rPr>
          <w:rFonts w:hint="eastAsia" w:eastAsia="宋体"/>
          <w:b/>
          <w:bCs/>
          <w:sz w:val="28"/>
          <w:szCs w:val="28"/>
          <w:lang w:val="en-US" w:eastAsia="zh-CN"/>
        </w:rPr>
        <w:t>维修技术要求</w:t>
      </w:r>
      <w:bookmarkEnd w:id="7"/>
      <w:bookmarkEnd w:id="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发光灯箱外框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铝板进料剪裁、铝焊接外壳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内置方管支撑结构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焊点防锈处理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灯箱布内圈拉筋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外框1.5mm304不锈钢板,氟碳烤漆处理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发光灯箱布：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bookmarkStart w:id="9" w:name="_Toc1111"/>
      <w:r>
        <w:rPr>
          <w:rFonts w:hint="eastAsia"/>
          <w:lang w:val="en-US" w:eastAsia="zh-CN"/>
        </w:rPr>
        <w:t>内透光灯箱布</w:t>
      </w:r>
      <w:bookmarkEnd w:id="9"/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bookmarkStart w:id="10" w:name="_Toc28860"/>
      <w:r>
        <w:rPr>
          <w:rFonts w:hint="eastAsia"/>
          <w:lang w:val="en-US" w:eastAsia="zh-CN"/>
        </w:rPr>
        <w:t>边缘封胶条</w:t>
      </w:r>
      <w:bookmarkEnd w:id="10"/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2"/>
          <w:numId w:val="3"/>
        </w:numPr>
        <w:bidi w:val="0"/>
        <w:ind w:left="709" w:leftChars="0" w:hanging="709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发光灯箱光源：</w:t>
      </w:r>
    </w:p>
    <w:p>
      <w:pPr>
        <w:numPr>
          <w:ilvl w:val="2"/>
          <w:numId w:val="3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内置防水恒压“蓝景 ”LED光源背发光效果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变压器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时控开关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不锈钢配电箱</w:t>
      </w:r>
    </w:p>
    <w:p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国标电缆线，护套管保护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1" w:name="_Toc28068"/>
      <w:bookmarkStart w:id="12" w:name="_Toc24671"/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11"/>
      <w:bookmarkEnd w:id="12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质保期限：</w:t>
      </w:r>
      <w:r>
        <w:rPr>
          <w:rFonts w:hint="eastAsia"/>
          <w:lang w:val="en-US" w:eastAsia="zh-CN"/>
        </w:rPr>
        <w:t xml:space="preserve">3 </w:t>
      </w:r>
      <w:r>
        <w:rPr>
          <w:rFonts w:hint="eastAsia" w:eastAsia="宋体"/>
          <w:lang w:val="en-US" w:eastAsia="zh-CN"/>
        </w:rPr>
        <w:t>年。质保期内，中标方需24小时内免费上门维修，确保院徽发光正常运行，所有人工、耗材、设备等均包含在报价内，采购人不再另行支付费用，一切安全责任由中标方负责。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标的完成时间：自合同签订之日后 20 天内。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付款方式：标的完成通过终验后，2个月内支付合同价的90%，一年后支付余款。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 w:eastAsia="宋体"/>
          <w:lang w:val="en-US" w:eastAsia="zh-CN"/>
        </w:rPr>
        <w:t>本项目无增补。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13" w:name="_Toc3739"/>
      <w:bookmarkStart w:id="14" w:name="_Toc27123"/>
      <w:r>
        <w:rPr>
          <w:rFonts w:hint="eastAsia" w:eastAsia="宋体"/>
          <w:b/>
          <w:bCs/>
          <w:sz w:val="28"/>
          <w:szCs w:val="28"/>
          <w:lang w:val="en-US" w:eastAsia="zh-CN"/>
        </w:rPr>
        <w:t>其它</w:t>
      </w:r>
      <w:bookmarkEnd w:id="13"/>
      <w:bookmarkEnd w:id="14"/>
    </w:p>
    <w:p>
      <w:pPr>
        <w:numPr>
          <w:ilvl w:val="1"/>
          <w:numId w:val="3"/>
        </w:numPr>
        <w:tabs>
          <w:tab w:val="left" w:pos="480"/>
        </w:tabs>
        <w:bidi w:val="0"/>
        <w:ind w:left="567" w:leftChars="0" w:hanging="567" w:firstLineChars="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具体维修方式及工作量需察看现场，有疑问当面与院方沟通，并填写现场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确认书，现场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确认书封装于投标文件内，无现场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确认书的视为无效投标。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现场</w:t>
      </w:r>
      <w:r>
        <w:rPr>
          <w:rFonts w:hint="eastAsia" w:eastAsia="宋体"/>
        </w:rPr>
        <w:t>踏勘</w:t>
      </w:r>
      <w:r>
        <w:rPr>
          <w:rFonts w:hint="eastAsia" w:eastAsia="宋体"/>
          <w:lang w:val="en-US" w:eastAsia="zh-CN"/>
        </w:rPr>
        <w:t>联系人：马科长，联系电话：15262908767。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5" w:name="_Toc7920"/>
      <w:bookmarkStart w:id="16" w:name="_Toc10480"/>
      <w:r>
        <w:rPr>
          <w:rFonts w:hint="eastAsia" w:eastAsia="宋体"/>
          <w:b/>
          <w:bCs/>
          <w:sz w:val="28"/>
          <w:szCs w:val="28"/>
          <w:lang w:val="en-US" w:eastAsia="zh-CN"/>
        </w:rPr>
        <w:t>招标时间及地点</w:t>
      </w:r>
      <w:bookmarkEnd w:id="15"/>
      <w:bookmarkEnd w:id="16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招标地点：院内会议室；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招标方式：竞争性谈判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一次性报价）</w:t>
      </w:r>
      <w:r>
        <w:rPr>
          <w:rFonts w:hint="eastAsia"/>
        </w:rPr>
        <w:t>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2份</w:t>
      </w:r>
      <w:r>
        <w:rPr>
          <w:rFonts w:hint="eastAsia"/>
        </w:rPr>
        <w:t>，开标时提供（格式参见第二部分）。</w:t>
      </w:r>
    </w:p>
    <w:p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7" w:name="_Toc14655"/>
      <w:bookmarkStart w:id="18" w:name="_Toc6963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7"/>
      <w:bookmarkEnd w:id="18"/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法人授权委托书及被授权人身份证复印件，法人参加报名的提供法人身份证复印件；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</w:p>
    <w:p>
      <w:pPr>
        <w:bidi w:val="0"/>
        <w:jc w:val="center"/>
        <w:rPr>
          <w:rFonts w:hint="eastAsia"/>
          <w:b/>
          <w:bCs/>
          <w:sz w:val="30"/>
          <w:szCs w:val="30"/>
        </w:rPr>
      </w:pPr>
      <w:bookmarkStart w:id="19" w:name="_Toc5584"/>
      <w:r>
        <w:rPr>
          <w:rFonts w:hint="eastAsia"/>
          <w:b/>
          <w:bCs/>
          <w:sz w:val="30"/>
          <w:szCs w:val="30"/>
        </w:rPr>
        <w:t>合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同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甲方：  丹阳市人民医院                                             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乙方：                                     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为明确双方的权利与义务，根据《中华人民共和国民法典》及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丹阳市人民医院</w:t>
      </w:r>
      <w:r>
        <w:rPr>
          <w:rFonts w:hint="eastAsia"/>
          <w:u w:val="single"/>
          <w:lang w:val="en-US" w:eastAsia="zh-CN"/>
        </w:rPr>
        <w:t xml:space="preserve">9号楼外立面发光灯箱院徽维修 </w:t>
      </w:r>
      <w:r>
        <w:rPr>
          <w:rFonts w:hint="eastAsia"/>
          <w:lang w:val="en-US" w:eastAsia="zh-CN"/>
        </w:rPr>
        <w:t xml:space="preserve"> 招标采购项目（招标编</w:t>
      </w:r>
      <w:r>
        <w:rPr>
          <w:rFonts w:hint="eastAsia" w:eastAsia="宋体"/>
          <w:u w:val="none"/>
          <w:lang w:val="en-US" w:eastAsia="zh-CN"/>
        </w:rPr>
        <w:t>号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DRY-CG-202400</w:t>
      </w:r>
      <w:r>
        <w:rPr>
          <w:rFonts w:hint="eastAsia"/>
          <w:u w:val="single"/>
          <w:lang w:val="en-US" w:eastAsia="zh-CN"/>
        </w:rPr>
        <w:t xml:space="preserve">8  </w:t>
      </w:r>
      <w:r>
        <w:rPr>
          <w:rFonts w:hint="eastAsia"/>
          <w:lang w:val="en-US" w:eastAsia="zh-CN"/>
        </w:rPr>
        <w:t>）采购结果，在</w:t>
      </w:r>
      <w:r>
        <w:rPr>
          <w:rFonts w:hint="eastAsia"/>
        </w:rPr>
        <w:t>甲、乙双方在平等、自愿、协商一致的基础上达成如下协议，共同遵守。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维</w:t>
      </w:r>
      <w:r>
        <w:rPr>
          <w:rFonts w:hint="eastAsia"/>
          <w:lang w:val="en-US" w:eastAsia="zh-CN"/>
        </w:rPr>
        <w:t>修设施</w:t>
      </w:r>
      <w:r>
        <w:rPr>
          <w:rFonts w:hint="eastAsia"/>
        </w:rPr>
        <w:t>名称、数量及地点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设施</w:t>
      </w:r>
      <w:r>
        <w:rPr>
          <w:rFonts w:hint="eastAsia"/>
        </w:rPr>
        <w:t>名称：</w:t>
      </w:r>
      <w:r>
        <w:rPr>
          <w:rFonts w:hint="eastAsia"/>
          <w:u w:val="none"/>
          <w:lang w:val="en-US" w:eastAsia="zh-CN"/>
        </w:rPr>
        <w:t>发光灯箱院徽</w:t>
      </w:r>
      <w:r>
        <w:rPr>
          <w:rFonts w:hint="eastAsia"/>
          <w:u w:val="none"/>
        </w:rPr>
        <w:t></w:t>
      </w:r>
      <w:r>
        <w:rPr>
          <w:rFonts w:hint="eastAsia"/>
        </w:rPr>
        <w:t xml:space="preserve">                        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设施</w:t>
      </w:r>
      <w:r>
        <w:rPr>
          <w:rFonts w:hint="eastAsia"/>
        </w:rPr>
        <w:t xml:space="preserve">数量：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                            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  <w:lang w:val="en-US" w:eastAsia="zh-CN"/>
        </w:rPr>
        <w:t>设施</w:t>
      </w:r>
      <w:r>
        <w:rPr>
          <w:rFonts w:hint="eastAsia"/>
        </w:rPr>
        <w:t xml:space="preserve">地点： </w:t>
      </w:r>
      <w:r>
        <w:rPr>
          <w:rFonts w:hint="eastAsia"/>
          <w:u w:val="none"/>
        </w:rPr>
        <w:t>丹阳市人民医院</w:t>
      </w:r>
      <w:r>
        <w:rPr>
          <w:rFonts w:hint="eastAsia"/>
          <w:u w:val="none"/>
          <w:lang w:val="en-US" w:eastAsia="zh-CN"/>
        </w:rPr>
        <w:t>9号楼外立面</w:t>
      </w:r>
      <w:r>
        <w:rPr>
          <w:rFonts w:hint="eastAsia"/>
        </w:rPr>
        <w:t xml:space="preserve">                           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维</w:t>
      </w:r>
      <w:r>
        <w:rPr>
          <w:rFonts w:hint="eastAsia"/>
          <w:lang w:val="en-US" w:eastAsia="zh-CN"/>
        </w:rPr>
        <w:t>修</w:t>
      </w:r>
      <w:r>
        <w:rPr>
          <w:rFonts w:hint="eastAsia"/>
        </w:rPr>
        <w:t>内容：</w:t>
      </w:r>
      <w:r>
        <w:rPr>
          <w:rFonts w:hint="eastAsia"/>
          <w:u w:val="none"/>
          <w:lang w:val="en-US" w:eastAsia="zh-CN"/>
        </w:rPr>
        <w:t>发光灯箱院徽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质保期：</w:t>
      </w:r>
      <w:r>
        <w:rPr>
          <w:rFonts w:hint="eastAsia"/>
          <w:lang w:val="en-US" w:eastAsia="zh-CN"/>
        </w:rPr>
        <w:t xml:space="preserve"> 3 </w:t>
      </w:r>
      <w:r>
        <w:rPr>
          <w:rFonts w:hint="eastAsia" w:eastAsia="宋体"/>
          <w:lang w:val="en-US" w:eastAsia="zh-CN"/>
        </w:rPr>
        <w:t>年。质保期内，中标方需24小时内免费上门维修，确保院徽发光正常运行，所有人工、耗材、设备等均包含在报价内，采购人不再另行支付费用，一切安全责任由中标方负责。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工期</w:t>
      </w:r>
      <w:r>
        <w:rPr>
          <w:rFonts w:hint="eastAsia" w:eastAsia="宋体"/>
        </w:rPr>
        <w:t xml:space="preserve">： </w:t>
      </w:r>
      <w:r>
        <w:rPr>
          <w:rFonts w:hint="eastAsia" w:eastAsia="宋体"/>
          <w:lang w:val="en-US" w:eastAsia="zh-CN"/>
        </w:rPr>
        <w:t>合同签订后 20 天内完成</w:t>
      </w:r>
      <w:r>
        <w:rPr>
          <w:rFonts w:hint="eastAsia" w:eastAsia="宋体"/>
        </w:rPr>
        <w:t xml:space="preserve"> 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 w:eastAsia="宋体"/>
        </w:rPr>
      </w:pPr>
      <w:r>
        <w:rPr>
          <w:rFonts w:hint="eastAsia" w:eastAsia="宋体"/>
        </w:rPr>
        <w:t>合同价及结算方式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合同总价（人民币大写）：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；（人民币小写）：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（元）；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结算方式：</w:t>
      </w:r>
      <w:r>
        <w:rPr>
          <w:rFonts w:hint="eastAsia"/>
          <w:lang w:val="en-US" w:eastAsia="zh-CN"/>
        </w:rPr>
        <w:t>标的完成通过终验后，2个月内支付合同价的90%，一年后支付余款。</w:t>
      </w:r>
    </w:p>
    <w:p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保修期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有关安全生产和防火等的现场管理约定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甲方提供的服务场地应符合防火、防事故的要求，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乙方如因维保原因需居住在维保现场，日常用水、用电、用燃气等必须注意安全，如乙方因此而造成相关后果，由乙方负责。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乙方应做好服务现场管理工作，禁止无关人员进入现场。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乙方本合同履行过程中造成自身或他人人身、财产损失的，由乙方承担全部责任，给甲方造成损失的，甲方有权向乙方追偿。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乙方交通工具自备，所有安全责任自负，与甲方无涉。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乙方工作中用水、用电、动火等必须注意安全，如乙方因此而造成相关后果，由乙方负责。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甲方工作：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甲方为乙方提供维保需用的水、电等必备条件，水、电、气费由甲方承担。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乙方维修工作中如需临时占用公用部位操作，甲方负责相关协调工作。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bookmarkStart w:id="20" w:name="_Hlk149033973"/>
      <w:r>
        <w:rPr>
          <w:rFonts w:hint="eastAsia"/>
        </w:rPr>
        <w:t>甲方有权进入维保现场对维保项目的进度与质量进行检查、验收。</w:t>
      </w:r>
      <w:bookmarkEnd w:id="20"/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乙方工作：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合同签约后，乙方至甲方保卫科办理《施工证申请表》（合同期内长期使用），维保（维修）工作中如动火，乙方须至甲方保卫科报备（每次）。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对甲方滞留在现场的设备等物品注意保护，如损坏需赔偿。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遵守甲方的规章制度。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纠纷处理方式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因各项事务甲乙双方发生争议时，双方协商解决。协商不成的，向丹阳市人民法院提起诉讼，权利方支出的诉讼费用、律师代理费、保函费、交通费等合理费用由败诉方承担。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合同履约</w:t>
      </w:r>
    </w:p>
    <w:p>
      <w:pPr>
        <w:numPr>
          <w:ilvl w:val="1"/>
          <w:numId w:val="4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合同经双方签字生效后，双方必须严格遵守，除因不可抗力情形，任何一方不得单方面解除或终止合同，否则应向对方支付违约金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>一方未遵守合同约定构成违约的，应当向守约方支付违约金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元，并赔偿守约方因此产生的损失。</w:t>
      </w:r>
    </w:p>
    <w:p>
      <w:pPr>
        <w:numPr>
          <w:ilvl w:val="1"/>
          <w:numId w:val="4"/>
        </w:numPr>
        <w:bidi w:val="0"/>
        <w:ind w:left="567" w:leftChars="0" w:hanging="567" w:firstLineChars="0"/>
      </w:pPr>
      <w:r>
        <w:rPr>
          <w:rFonts w:hint="eastAsia"/>
        </w:rPr>
        <w:t xml:space="preserve">本合同不得转包，如有违反，甲方有权解除本合同，同时，乙方应向甲方承担合同总价款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%的违约金，给甲方造成损失的，还应赔偿甲方一切经济损失。</w:t>
      </w:r>
    </w:p>
    <w:p>
      <w:pPr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  <w:lang w:val="en-US" w:eastAsia="zh-CN"/>
        </w:rPr>
        <w:t xml:space="preserve">  下</w:t>
      </w:r>
      <w:r>
        <w:rPr>
          <w:rFonts w:hint="eastAsia"/>
        </w:rPr>
        <w:t>列甲方采购文件、乙方响应文件，或与本次采购活动方式相适应的文件，以及有关附件是本合同不可分割的组成部分，与本合同具有同等法律效力，这些文件包括但不限于</w:t>
      </w:r>
      <w:r>
        <w:rPr>
          <w:rFonts w:hint="eastAsia"/>
          <w:lang w:eastAsia="zh-CN"/>
        </w:rPr>
        <w:t>：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甲方的采购文件；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乙方的响应文件；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乙方的服务承诺；</w:t>
      </w:r>
    </w:p>
    <w:p>
      <w:pPr>
        <w:numPr>
          <w:ilvl w:val="1"/>
          <w:numId w:val="5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甲乙双方商定的其他文件等。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本合同一式  二  份，甲、乙双方各执一份，合同附件为本合同的组成部分，具有同等的法律效力。</w:t>
      </w:r>
    </w:p>
    <w:p>
      <w:pPr>
        <w:bidi w:val="0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甲方（盖章）：                        乙方（盖章）：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甲方代表（签字盖章）：                乙方代表（签字盖章）：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日     期：                           日    期：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</w:pP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谈判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9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/>
        </w:rPr>
      </w:pPr>
      <w:bookmarkStart w:id="21" w:name="_Toc16822"/>
      <w:bookmarkStart w:id="22" w:name="_Toc12859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>丹阳市人民医院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9号楼外立面发光灯箱院徽维修</w:t>
      </w:r>
      <w:bookmarkEnd w:id="21"/>
      <w:bookmarkEnd w:id="22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3" w:name="_Toc30442"/>
      <w:bookmarkStart w:id="24" w:name="_Toc18710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23"/>
      <w:bookmarkEnd w:id="24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5" w:name="_Toc22247"/>
      <w:bookmarkStart w:id="26" w:name="_Toc24315"/>
      <w:r>
        <w:rPr>
          <w:rFonts w:hint="eastAsia" w:ascii="黑体" w:hAnsi="黑体" w:eastAsia="黑体" w:cs="黑体"/>
          <w:sz w:val="30"/>
          <w:szCs w:val="30"/>
        </w:rPr>
        <w:t>（招标编号：   DRY-CG-202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00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8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25"/>
      <w:bookmarkEnd w:id="26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7" w:name="_Toc29846"/>
      <w:bookmarkStart w:id="28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7"/>
      <w:bookmarkEnd w:id="28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9" w:name="_Toc6581"/>
      <w:bookmarkStart w:id="30" w:name="_Toc27992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9"/>
      <w:bookmarkEnd w:id="30"/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6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31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bidi w:val="0"/>
        <w:jc w:val="center"/>
        <w:rPr>
          <w:b/>
          <w:bCs/>
          <w:sz w:val="30"/>
          <w:szCs w:val="30"/>
        </w:rPr>
      </w:pPr>
      <w:bookmarkStart w:id="32" w:name="_Toc22545"/>
      <w:bookmarkStart w:id="33" w:name="_Toc554"/>
      <w:r>
        <w:rPr>
          <w:b/>
          <w:bCs/>
          <w:sz w:val="30"/>
          <w:szCs w:val="30"/>
        </w:rPr>
        <w:t>投标文件目录</w:t>
      </w:r>
      <w:bookmarkEnd w:id="32"/>
      <w:bookmarkEnd w:id="33"/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</w:t>
      </w: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7"/>
        </w:numPr>
        <w:bidi w:val="0"/>
        <w:ind w:left="0" w:leftChars="0" w:firstLine="0" w:firstLineChars="0"/>
        <w:outlineLvl w:val="2"/>
        <w:rPr>
          <w:rFonts w:hint="eastAsia"/>
        </w:rPr>
      </w:pPr>
      <w:bookmarkStart w:id="34" w:name="_Toc29490"/>
      <w:r>
        <w:rPr>
          <w:rFonts w:hint="eastAsia"/>
        </w:rPr>
        <w:t>投 标 函</w:t>
      </w:r>
      <w:bookmarkEnd w:id="31"/>
      <w:bookmarkEnd w:id="34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>
      <w:pPr>
        <w:numPr>
          <w:ilvl w:val="0"/>
          <w:numId w:val="8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我方己仔细研究了丹阳市人民医院9号楼外立面发光灯箱院徽维修采购招标文件的全部内容，愿意以人民币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元）的投标总报价，并将按招标文件的规定履行合同责任和义务，实现工程目的。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我方承诺在招标文件规定的投标有效期内不修改、撤销投标文件。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>
      <w:pPr>
        <w:numPr>
          <w:ilvl w:val="0"/>
          <w:numId w:val="8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35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35"/>
    </w:p>
    <w:p>
      <w:pPr>
        <w:numPr>
          <w:ilvl w:val="1"/>
          <w:numId w:val="8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>
      <w:pPr>
        <w:numPr>
          <w:ilvl w:val="1"/>
          <w:numId w:val="8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numPr>
          <w:ilvl w:val="0"/>
          <w:numId w:val="8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7"/>
        </w:numPr>
        <w:bidi w:val="0"/>
        <w:ind w:left="0" w:leftChars="0" w:firstLine="420" w:firstLineChars="0"/>
        <w:jc w:val="center"/>
        <w:outlineLvl w:val="1"/>
        <w:rPr>
          <w:rStyle w:val="35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36" w:name="_Toc26543"/>
      <w:bookmarkStart w:id="37" w:name="_Toc19625"/>
      <w:r>
        <w:rPr>
          <w:rStyle w:val="35"/>
          <w:rFonts w:hint="eastAsia"/>
        </w:rPr>
        <w:t>谈判响应报价表（格式）</w:t>
      </w:r>
      <w:bookmarkEnd w:id="36"/>
      <w:bookmarkEnd w:id="37"/>
    </w:p>
    <w:tbl>
      <w:tblPr>
        <w:tblStyle w:val="2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名称：丹阳市人民医院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9号楼外立面发光灯箱院徽维修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>
      <w:pPr>
        <w:bidi w:val="0"/>
        <w:rPr>
          <w:rFonts w:hint="eastAsia"/>
        </w:rPr>
      </w:pPr>
      <w:bookmarkStart w:id="38" w:name="_Toc28122"/>
      <w:r>
        <w:rPr>
          <w:rFonts w:hint="eastAsia"/>
        </w:rPr>
        <w:t>2、投标供应商必须据实填写此表，项目报价不得超过预算。</w:t>
      </w:r>
      <w:bookmarkEnd w:id="38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9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numPr>
          <w:ilvl w:val="0"/>
          <w:numId w:val="7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40" w:name="_Toc1153"/>
      <w:r>
        <w:rPr>
          <w:rFonts w:hint="eastAsia"/>
        </w:rPr>
        <w:t>法定代表人身份证明</w:t>
      </w:r>
      <w:bookmarkEnd w:id="39"/>
      <w:r>
        <w:rPr>
          <w:rFonts w:hint="eastAsia"/>
          <w:lang w:eastAsia="zh-CN"/>
        </w:rPr>
        <w:t>书</w:t>
      </w:r>
      <w:bookmarkEnd w:id="40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numPr>
          <w:ilvl w:val="0"/>
          <w:numId w:val="7"/>
        </w:numPr>
        <w:bidi w:val="0"/>
        <w:ind w:left="0" w:leftChars="0" w:firstLine="420" w:firstLineChars="0"/>
        <w:rPr>
          <w:rFonts w:hint="eastAsia"/>
        </w:rPr>
      </w:pPr>
      <w:bookmarkStart w:id="41" w:name="_Toc10458"/>
      <w:bookmarkStart w:id="42" w:name="_Toc16817"/>
      <w:r>
        <w:rPr>
          <w:rFonts w:hint="eastAsia"/>
        </w:rPr>
        <w:t>法定代表人授权委托书</w:t>
      </w:r>
      <w:bookmarkEnd w:id="41"/>
      <w:bookmarkEnd w:id="42"/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43" w:name="_Toc28085"/>
      <w:bookmarkStart w:id="44" w:name="_Toc18040"/>
    </w:p>
    <w:p>
      <w:pPr>
        <w:pStyle w:val="4"/>
        <w:numPr>
          <w:ilvl w:val="0"/>
          <w:numId w:val="7"/>
        </w:numPr>
        <w:bidi w:val="0"/>
        <w:ind w:left="0" w:leftChars="0" w:firstLine="420" w:firstLineChars="0"/>
        <w:rPr>
          <w:rFonts w:hint="eastAsia"/>
        </w:rPr>
      </w:pPr>
      <w:bookmarkStart w:id="45" w:name="_Toc1962"/>
      <w:r>
        <w:rPr>
          <w:rFonts w:hint="eastAsia"/>
        </w:rPr>
        <w:t>资格审查资料</w:t>
      </w:r>
      <w:bookmarkEnd w:id="45"/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43"/>
    </w:p>
    <w:tbl>
      <w:tblPr>
        <w:tblStyle w:val="22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46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pStyle w:val="5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7" w:name="_Toc31248"/>
      <w:r>
        <w:rPr>
          <w:rFonts w:hint="eastAsia" w:eastAsia="宋体"/>
        </w:rPr>
        <w:t>独立承担民事责任的能力</w:t>
      </w:r>
      <w:bookmarkEnd w:id="46"/>
      <w:bookmarkEnd w:id="47"/>
    </w:p>
    <w:p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5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48" w:name="_Toc24349"/>
      <w:bookmarkStart w:id="49" w:name="_Toc29012"/>
      <w:r>
        <w:rPr>
          <w:rFonts w:hint="eastAsia"/>
        </w:rPr>
        <w:t>资格承诺函</w:t>
      </w:r>
      <w:bookmarkEnd w:id="48"/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49"/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numPr>
          <w:ilvl w:val="0"/>
          <w:numId w:val="9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50" w:name="_Toc8108"/>
      <w:r>
        <w:rPr>
          <w:rFonts w:hint="eastAsia"/>
        </w:rPr>
        <w:t>现场踏勘确认书</w:t>
      </w:r>
      <w:bookmarkEnd w:id="50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丹阳市人民医院</w:t>
      </w:r>
    </w:p>
    <w:p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我司已按招标文件要求踏勘了贵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9号楼施工</w:t>
      </w:r>
      <w:r>
        <w:rPr>
          <w:rFonts w:hint="eastAsia" w:ascii="宋体" w:hAnsi="宋体" w:eastAsia="宋体" w:cs="宋体"/>
          <w:sz w:val="28"/>
          <w:szCs w:val="28"/>
        </w:rPr>
        <w:t>现场，取得了所有与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有关的资料，并充分了解了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维修内容、维修方式方法、</w:t>
      </w:r>
      <w:r>
        <w:rPr>
          <w:rFonts w:hint="eastAsia" w:ascii="宋体" w:hAnsi="宋体" w:eastAsia="宋体" w:cs="宋体"/>
          <w:sz w:val="28"/>
          <w:szCs w:val="28"/>
        </w:rPr>
        <w:t>工地的位置、邻近建(构)筑物、临时设施、临时水电、临时道路、场地布置、起卸吊运限制、垂直运输、物料搬(转)运、现场在建施工单位等足以影响投标报价的其它情况，由此可能发生的任何费用我司均在投标报价中子以综合考虑。并郑重承诺若我司中标后，将不会以不了解现场为由，提出投标报价以外的任何费用要求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投标单位(签署及盖章)</w:t>
      </w: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2024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bookmarkEnd w:id="44"/>
    <w:p>
      <w:pPr>
        <w:pStyle w:val="4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1" w:name="_Toc24976"/>
      <w:r>
        <w:rPr>
          <w:rFonts w:hint="eastAsia"/>
          <w:lang w:val="en-US" w:eastAsia="zh-CN"/>
        </w:rPr>
        <w:t>维修技术要求响应偏离表</w:t>
      </w:r>
      <w:bookmarkEnd w:id="51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“采购文件规定的技术和服务要求”应与招标文件中采购需求的“技术和服务要求”的内容保持一致。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>
      <w:pPr>
        <w:pStyle w:val="4"/>
        <w:numPr>
          <w:ilvl w:val="0"/>
          <w:numId w:val="1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52" w:name="_Toc22814"/>
      <w:r>
        <w:rPr>
          <w:rFonts w:hint="eastAsia"/>
          <w:lang w:val="en-US" w:eastAsia="zh-CN"/>
        </w:rPr>
        <w:t>商务响应偏离表</w:t>
      </w:r>
      <w:bookmarkEnd w:id="52"/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“采购文件规定的商务条件”项下填写的内容应与招标文件中采购需求的 “商务要求”的内容保持一致。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>
      <w:pPr>
        <w:bidi w:val="0"/>
        <w:rPr>
          <w:sz w:val="24"/>
          <w:szCs w:val="24"/>
        </w:rPr>
      </w:pPr>
      <w:bookmarkStart w:id="53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53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B71384D"/>
    <w:multiLevelType w:val="multilevel"/>
    <w:tmpl w:val="9B71384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199F0E3A"/>
    <w:multiLevelType w:val="multilevel"/>
    <w:tmpl w:val="199F0E3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4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9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0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20A2568"/>
    <w:rsid w:val="02BF0358"/>
    <w:rsid w:val="04425FE9"/>
    <w:rsid w:val="061439B5"/>
    <w:rsid w:val="09294C09"/>
    <w:rsid w:val="0B1F5EC8"/>
    <w:rsid w:val="0D3E3974"/>
    <w:rsid w:val="0D5F7C0C"/>
    <w:rsid w:val="0EFC0FC2"/>
    <w:rsid w:val="112D72E7"/>
    <w:rsid w:val="149633B3"/>
    <w:rsid w:val="14C14790"/>
    <w:rsid w:val="15DA09E4"/>
    <w:rsid w:val="17166BB7"/>
    <w:rsid w:val="17E45884"/>
    <w:rsid w:val="19A2414E"/>
    <w:rsid w:val="19D5786F"/>
    <w:rsid w:val="1B50464C"/>
    <w:rsid w:val="1B592166"/>
    <w:rsid w:val="1C6232CC"/>
    <w:rsid w:val="1E140998"/>
    <w:rsid w:val="1E5D3CF4"/>
    <w:rsid w:val="21103434"/>
    <w:rsid w:val="21AB121A"/>
    <w:rsid w:val="21F9016E"/>
    <w:rsid w:val="25212EA4"/>
    <w:rsid w:val="27AF7F38"/>
    <w:rsid w:val="28942C22"/>
    <w:rsid w:val="2B1167EC"/>
    <w:rsid w:val="2BAB28CF"/>
    <w:rsid w:val="2EBD19FE"/>
    <w:rsid w:val="309B756E"/>
    <w:rsid w:val="30F96FE4"/>
    <w:rsid w:val="32346F6E"/>
    <w:rsid w:val="33217710"/>
    <w:rsid w:val="356824AE"/>
    <w:rsid w:val="36FE4E33"/>
    <w:rsid w:val="37415068"/>
    <w:rsid w:val="38483D77"/>
    <w:rsid w:val="38E47EA4"/>
    <w:rsid w:val="3989585D"/>
    <w:rsid w:val="3F0E37CA"/>
    <w:rsid w:val="3F48163C"/>
    <w:rsid w:val="401A4DB7"/>
    <w:rsid w:val="407777C7"/>
    <w:rsid w:val="40C1324F"/>
    <w:rsid w:val="40F7100D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3679D2"/>
    <w:rsid w:val="4DA35DAA"/>
    <w:rsid w:val="4DFE04EE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131EF6"/>
    <w:rsid w:val="5699159A"/>
    <w:rsid w:val="584A577E"/>
    <w:rsid w:val="58DD3FB8"/>
    <w:rsid w:val="59705FB7"/>
    <w:rsid w:val="59F24396"/>
    <w:rsid w:val="5A0D01D8"/>
    <w:rsid w:val="5A46358F"/>
    <w:rsid w:val="5B376630"/>
    <w:rsid w:val="5BAB74D2"/>
    <w:rsid w:val="61091B6E"/>
    <w:rsid w:val="63696264"/>
    <w:rsid w:val="647C797D"/>
    <w:rsid w:val="69DC2875"/>
    <w:rsid w:val="6B814C60"/>
    <w:rsid w:val="6D5B386F"/>
    <w:rsid w:val="6F1B1316"/>
    <w:rsid w:val="6FC059F2"/>
    <w:rsid w:val="71962296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35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8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6">
    <w:name w:val="heading 4"/>
    <w:basedOn w:val="1"/>
    <w:next w:val="1"/>
    <w:link w:val="27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1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0"/>
  </w:style>
  <w:style w:type="paragraph" w:styleId="20">
    <w:name w:val="toc 2"/>
    <w:basedOn w:val="1"/>
    <w:next w:val="1"/>
    <w:autoRedefine/>
    <w:qFormat/>
    <w:uiPriority w:val="0"/>
    <w:pPr>
      <w:ind w:left="420" w:leftChars="200"/>
    </w:pPr>
  </w:style>
  <w:style w:type="paragraph" w:styleId="2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autoRedefine/>
    <w:qFormat/>
    <w:uiPriority w:val="22"/>
    <w:rPr>
      <w:b/>
      <w:bCs/>
    </w:rPr>
  </w:style>
  <w:style w:type="paragraph" w:customStyle="1" w:styleId="26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27">
    <w:name w:val="标题 4 Char"/>
    <w:link w:val="6"/>
    <w:autoRedefine/>
    <w:qFormat/>
    <w:uiPriority w:val="0"/>
    <w:rPr>
      <w:rFonts w:ascii="Arial" w:hAnsi="Arial" w:eastAsia="微软雅黑"/>
      <w:sz w:val="24"/>
    </w:rPr>
  </w:style>
  <w:style w:type="paragraph" w:customStyle="1" w:styleId="28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9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0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1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2">
    <w:name w:val="font1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01"/>
    <w:basedOn w:val="2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4">
    <w:name w:val="批注框文本 Char"/>
    <w:basedOn w:val="24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5">
    <w:name w:val="标题 2 字符"/>
    <w:link w:val="4"/>
    <w:autoRedefine/>
    <w:qFormat/>
    <w:uiPriority w:val="0"/>
    <w:rPr>
      <w:rFonts w:ascii="Arial" w:hAnsi="Arial" w:eastAsia="黑体"/>
      <w:b/>
      <w:sz w:val="32"/>
    </w:rPr>
  </w:style>
  <w:style w:type="paragraph" w:customStyle="1" w:styleId="3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3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标题 3 Char"/>
    <w:link w:val="5"/>
    <w:autoRedefine/>
    <w:qFormat/>
    <w:uiPriority w:val="0"/>
    <w:rPr>
      <w:rFonts w:eastAsia="宋体"/>
      <w:b/>
      <w:sz w:val="28"/>
    </w:rPr>
  </w:style>
  <w:style w:type="paragraph" w:customStyle="1" w:styleId="3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0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3058</Words>
  <Characters>3202</Characters>
  <Lines>24</Lines>
  <Paragraphs>6</Paragraphs>
  <TotalTime>1</TotalTime>
  <ScaleCrop>false</ScaleCrop>
  <LinksUpToDate>false</LinksUpToDate>
  <CharactersWithSpaces>4228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2023-02-07T01:55:00Z</cp:lastPrinted>
  <dcterms:modified xsi:type="dcterms:W3CDTF">2024-04-25T00:43:43Z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11D684ED36434341BEA80C8013C5AFF2_13</vt:lpwstr>
  </property>
</Properties>
</file>