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bidi w:val="0"/>
        <w:ind w:leftChars="0"/>
        <w:jc w:val="center"/>
      </w:pPr>
      <w:bookmarkStart w:id="0" w:name="_Toc19291"/>
      <w:r>
        <w:rPr>
          <w:rFonts w:hint="eastAsia"/>
        </w:rPr>
        <w:t>丹阳市人民医院</w:t>
      </w:r>
      <w:r>
        <w:rPr>
          <w:rFonts w:hint="eastAsia" w:ascii="微软雅黑" w:hAnsi="微软雅黑" w:cs="微软雅黑"/>
          <w:sz w:val="30"/>
          <w:szCs w:val="30"/>
          <w:lang w:val="en-US" w:eastAsia="zh-CN"/>
        </w:rPr>
        <w:t>锅炉房水处理维保采购</w:t>
      </w:r>
      <w:r>
        <w:rPr>
          <w:rFonts w:hint="eastAsia"/>
        </w:rPr>
        <w:t>需求</w:t>
      </w:r>
      <w:bookmarkEnd w:id="0"/>
    </w:p>
    <w:p>
      <w:pPr>
        <w:numPr>
          <w:ilvl w:val="0"/>
          <w:numId w:val="3"/>
        </w:numPr>
        <w:bidi w:val="0"/>
        <w:ind w:left="425" w:leftChars="0" w:hanging="425" w:firstLineChars="0"/>
        <w:outlineLvl w:val="0"/>
        <w:rPr>
          <w:rFonts w:hint="eastAsia"/>
          <w:b/>
          <w:bCs/>
          <w:sz w:val="28"/>
          <w:szCs w:val="28"/>
        </w:rPr>
      </w:pPr>
      <w:bookmarkStart w:id="1" w:name="_Toc873"/>
      <w:bookmarkStart w:id="2" w:name="_Toc14336"/>
      <w:r>
        <w:rPr>
          <w:rFonts w:hint="eastAsia"/>
          <w:b/>
          <w:bCs/>
          <w:sz w:val="28"/>
          <w:szCs w:val="28"/>
        </w:rPr>
        <w:t>项目基本情况</w:t>
      </w:r>
      <w:bookmarkEnd w:id="1"/>
      <w:bookmarkEnd w:id="2"/>
    </w:p>
    <w:p>
      <w:pPr>
        <w:numPr>
          <w:ilvl w:val="1"/>
          <w:numId w:val="3"/>
        </w:numPr>
        <w:bidi w:val="0"/>
        <w:ind w:left="567" w:leftChars="0" w:hanging="567" w:firstLineChars="0"/>
        <w:rPr>
          <w:rFonts w:hint="eastAsia"/>
        </w:rPr>
      </w:pPr>
      <w:r>
        <w:rPr>
          <w:rFonts w:hint="eastAsia"/>
        </w:rPr>
        <w:t>名称：</w:t>
      </w:r>
      <w:r>
        <w:rPr>
          <w:rFonts w:hint="eastAsia"/>
          <w:lang w:eastAsia="zh-CN"/>
        </w:rPr>
        <w:t>丹阳市人民医院锅炉房水处理维保项目</w:t>
      </w:r>
      <w:r>
        <w:rPr>
          <w:rFonts w:hint="eastAsia"/>
        </w:rPr>
        <w:t>；</w:t>
      </w:r>
    </w:p>
    <w:p>
      <w:pPr>
        <w:numPr>
          <w:ilvl w:val="1"/>
          <w:numId w:val="3"/>
        </w:numPr>
        <w:bidi w:val="0"/>
        <w:ind w:left="567" w:leftChars="0" w:hanging="567" w:firstLineChars="0"/>
        <w:rPr>
          <w:rFonts w:hint="eastAsia"/>
          <w:lang w:val="en-US" w:eastAsia="zh-CN"/>
        </w:rPr>
      </w:pPr>
      <w:r>
        <w:rPr>
          <w:rFonts w:hint="eastAsia"/>
        </w:rPr>
        <w:t>编号：</w:t>
      </w:r>
      <w:r>
        <w:rPr>
          <w:rFonts w:hint="eastAsia"/>
          <w:lang w:eastAsia="zh-CN"/>
        </w:rPr>
        <w:t>DRY-CG-20240</w:t>
      </w:r>
      <w:r>
        <w:rPr>
          <w:rFonts w:hint="eastAsia"/>
          <w:lang w:val="en-US" w:eastAsia="zh-CN"/>
        </w:rPr>
        <w:t>26；</w:t>
      </w:r>
    </w:p>
    <w:p>
      <w:pPr>
        <w:numPr>
          <w:ilvl w:val="1"/>
          <w:numId w:val="3"/>
        </w:numPr>
        <w:bidi w:val="0"/>
        <w:ind w:left="567" w:leftChars="0" w:hanging="567" w:firstLineChars="0"/>
        <w:rPr>
          <w:rFonts w:hint="eastAsia"/>
          <w:lang w:val="en-US" w:eastAsia="zh-CN"/>
        </w:rPr>
      </w:pPr>
      <w:r>
        <w:rPr>
          <w:rFonts w:hint="eastAsia"/>
        </w:rPr>
        <w:t>预算：</w:t>
      </w:r>
      <w:r>
        <w:rPr>
          <w:rFonts w:hint="eastAsia"/>
          <w:lang w:val="en-US" w:eastAsia="zh-CN"/>
        </w:rPr>
        <w:t>3</w:t>
      </w:r>
      <w:r>
        <w:rPr>
          <w:rFonts w:hint="eastAsia"/>
        </w:rPr>
        <w:t>万元</w:t>
      </w:r>
      <w:r>
        <w:rPr>
          <w:rFonts w:hint="eastAsia"/>
          <w:lang w:eastAsia="zh-CN"/>
        </w:rPr>
        <w:t>（</w:t>
      </w:r>
      <w:r>
        <w:rPr>
          <w:rFonts w:hint="eastAsia"/>
          <w:lang w:val="en-US" w:eastAsia="zh-CN"/>
        </w:rPr>
        <w:t>3年总费用）。</w:t>
      </w:r>
    </w:p>
    <w:p>
      <w:pPr>
        <w:numPr>
          <w:ilvl w:val="0"/>
          <w:numId w:val="3"/>
        </w:numPr>
        <w:bidi w:val="0"/>
        <w:ind w:left="425" w:leftChars="0" w:hanging="425" w:firstLineChars="0"/>
        <w:outlineLvl w:val="0"/>
        <w:rPr>
          <w:rFonts w:hint="eastAsia" w:eastAsia="宋体"/>
          <w:b/>
          <w:bCs/>
          <w:sz w:val="28"/>
          <w:szCs w:val="28"/>
          <w:lang w:eastAsia="zh-CN"/>
        </w:rPr>
      </w:pPr>
      <w:bookmarkStart w:id="3" w:name="_Toc3661"/>
      <w:bookmarkStart w:id="4" w:name="_Toc18756"/>
      <w:r>
        <w:rPr>
          <w:rFonts w:hint="eastAsia" w:eastAsia="宋体"/>
          <w:b/>
          <w:bCs/>
          <w:sz w:val="28"/>
          <w:szCs w:val="28"/>
        </w:rPr>
        <w:t>报名时间及地点</w:t>
      </w:r>
      <w:bookmarkEnd w:id="3"/>
      <w:bookmarkEnd w:id="4"/>
    </w:p>
    <w:p>
      <w:pPr>
        <w:numPr>
          <w:ilvl w:val="1"/>
          <w:numId w:val="3"/>
        </w:numPr>
        <w:bidi w:val="0"/>
        <w:ind w:left="567" w:leftChars="0" w:hanging="567" w:firstLineChars="0"/>
        <w:rPr>
          <w:rFonts w:hint="eastAsia"/>
        </w:rPr>
      </w:pPr>
      <w:r>
        <w:rPr>
          <w:rFonts w:hint="eastAsia"/>
        </w:rPr>
        <w:t>报名时间：</w:t>
      </w:r>
      <w:r>
        <w:rPr>
          <w:rFonts w:hint="eastAsia"/>
          <w:lang w:val="en-US" w:eastAsia="zh-CN"/>
        </w:rPr>
        <w:t>2024</w:t>
      </w:r>
      <w:r>
        <w:rPr>
          <w:rFonts w:hint="eastAsia"/>
        </w:rPr>
        <w:t>年</w:t>
      </w:r>
      <w:r>
        <w:rPr>
          <w:rFonts w:hint="eastAsia"/>
          <w:lang w:val="en-US" w:eastAsia="zh-CN"/>
        </w:rPr>
        <w:t xml:space="preserve"> 6</w:t>
      </w:r>
      <w:r>
        <w:rPr>
          <w:rFonts w:hint="eastAsia"/>
        </w:rPr>
        <w:t>月</w:t>
      </w:r>
      <w:r>
        <w:rPr>
          <w:rFonts w:hint="eastAsia"/>
          <w:lang w:val="en-US" w:eastAsia="zh-CN"/>
        </w:rPr>
        <w:t>12</w:t>
      </w:r>
      <w:r>
        <w:rPr>
          <w:rFonts w:hint="eastAsia"/>
        </w:rPr>
        <w:t>日至</w:t>
      </w:r>
      <w:r>
        <w:rPr>
          <w:rFonts w:hint="eastAsia"/>
          <w:lang w:val="en-US" w:eastAsia="zh-CN"/>
        </w:rPr>
        <w:t>2024</w:t>
      </w:r>
      <w:r>
        <w:rPr>
          <w:rFonts w:hint="eastAsia"/>
        </w:rPr>
        <w:t>年</w:t>
      </w:r>
      <w:r>
        <w:rPr>
          <w:rFonts w:hint="eastAsia"/>
          <w:lang w:val="en-US" w:eastAsia="zh-CN"/>
        </w:rPr>
        <w:t>6</w:t>
      </w:r>
      <w:r>
        <w:rPr>
          <w:rFonts w:hint="eastAsia"/>
        </w:rPr>
        <w:t>月</w:t>
      </w:r>
      <w:r>
        <w:rPr>
          <w:rFonts w:hint="eastAsia"/>
          <w:lang w:val="en-US" w:eastAsia="zh-CN"/>
        </w:rPr>
        <w:t xml:space="preserve"> 18 </w:t>
      </w:r>
      <w:r>
        <w:rPr>
          <w:rFonts w:hint="eastAsia"/>
        </w:rPr>
        <w:t>日(节假日除外）</w:t>
      </w:r>
      <w:r>
        <w:rPr>
          <w:rFonts w:hint="eastAsia"/>
          <w:lang w:eastAsia="zh-CN"/>
        </w:rPr>
        <w:t>。</w:t>
      </w:r>
      <w:r>
        <w:rPr>
          <w:rFonts w:hint="eastAsia"/>
        </w:rPr>
        <w:t>上午8:00-11:00</w:t>
      </w:r>
      <w:r>
        <w:rPr>
          <w:rFonts w:hint="eastAsia"/>
          <w:lang w:val="en-US" w:eastAsia="zh-CN"/>
        </w:rPr>
        <w:t xml:space="preserve"> </w:t>
      </w:r>
      <w:r>
        <w:rPr>
          <w:rFonts w:hint="eastAsia"/>
        </w:rPr>
        <w:t>下午2:</w:t>
      </w:r>
      <w:r>
        <w:rPr>
          <w:rFonts w:hint="eastAsia"/>
          <w:lang w:val="en-US" w:eastAsia="zh-CN"/>
        </w:rPr>
        <w:t>0</w:t>
      </w:r>
      <w:r>
        <w:rPr>
          <w:rFonts w:hint="eastAsia"/>
        </w:rPr>
        <w:t>0-5:</w:t>
      </w:r>
      <w:r>
        <w:rPr>
          <w:rFonts w:hint="eastAsia"/>
          <w:lang w:val="en-US" w:eastAsia="zh-CN"/>
        </w:rPr>
        <w:t>0</w:t>
      </w:r>
      <w:r>
        <w:rPr>
          <w:rFonts w:hint="eastAsia"/>
        </w:rPr>
        <w:t>0；</w:t>
      </w:r>
    </w:p>
    <w:p>
      <w:pPr>
        <w:numPr>
          <w:ilvl w:val="1"/>
          <w:numId w:val="3"/>
        </w:numPr>
        <w:bidi w:val="0"/>
        <w:ind w:left="567" w:leftChars="0" w:hanging="567" w:firstLineChars="0"/>
        <w:rPr>
          <w:rFonts w:hint="eastAsia"/>
        </w:rPr>
      </w:pPr>
      <w:r>
        <w:rPr>
          <w:rFonts w:hint="eastAsia"/>
        </w:rPr>
        <w:t>报名地点：丹阳市人民医院采购中心</w:t>
      </w:r>
      <w:r>
        <w:rPr>
          <w:rFonts w:hint="eastAsia"/>
          <w:lang w:eastAsia="zh-CN"/>
        </w:rPr>
        <w:t>（</w:t>
      </w:r>
      <w:r>
        <w:rPr>
          <w:rFonts w:hint="eastAsia"/>
        </w:rPr>
        <w:t>丹阳市</w:t>
      </w:r>
      <w:r>
        <w:rPr>
          <w:rFonts w:hint="eastAsia"/>
          <w:lang w:eastAsia="zh-CN"/>
        </w:rPr>
        <w:t>西二环路</w:t>
      </w:r>
      <w:r>
        <w:rPr>
          <w:rFonts w:hint="eastAsia"/>
        </w:rPr>
        <w:t>教育印刷厂三楼</w:t>
      </w:r>
      <w:r>
        <w:rPr>
          <w:rFonts w:hint="eastAsia"/>
          <w:lang w:eastAsia="zh-CN"/>
        </w:rPr>
        <w:t>）</w:t>
      </w:r>
      <w:r>
        <w:rPr>
          <w:rFonts w:hint="eastAsia"/>
        </w:rPr>
        <w:t>；</w:t>
      </w:r>
    </w:p>
    <w:p>
      <w:pPr>
        <w:numPr>
          <w:ilvl w:val="1"/>
          <w:numId w:val="3"/>
        </w:numPr>
        <w:bidi w:val="0"/>
        <w:ind w:left="567" w:leftChars="0" w:hanging="567" w:firstLineChars="0"/>
        <w:rPr>
          <w:rFonts w:hint="eastAsia"/>
        </w:rPr>
      </w:pPr>
      <w:r>
        <w:rPr>
          <w:rFonts w:hint="eastAsia"/>
        </w:rPr>
        <w:t>联系人：</w:t>
      </w:r>
      <w:r>
        <w:rPr>
          <w:rFonts w:hint="eastAsia"/>
          <w:lang w:eastAsia="zh-CN"/>
        </w:rPr>
        <w:t>杨</w:t>
      </w:r>
      <w:r>
        <w:rPr>
          <w:rFonts w:hint="eastAsia"/>
        </w:rPr>
        <w:t>先生；</w:t>
      </w:r>
    </w:p>
    <w:p>
      <w:pPr>
        <w:numPr>
          <w:ilvl w:val="1"/>
          <w:numId w:val="3"/>
        </w:numPr>
        <w:bidi w:val="0"/>
        <w:ind w:left="567" w:leftChars="0" w:hanging="567" w:firstLineChars="0"/>
        <w:rPr>
          <w:rFonts w:hint="eastAsia"/>
        </w:rPr>
      </w:pPr>
      <w:r>
        <w:rPr>
          <w:rFonts w:hint="eastAsia"/>
        </w:rPr>
        <w:t>联系电话：0511-86553123</w:t>
      </w:r>
      <w:r>
        <w:rPr>
          <w:rFonts w:hint="eastAsia"/>
          <w:lang w:val="en-US" w:eastAsia="zh-CN"/>
        </w:rPr>
        <w:t>、15189172512</w:t>
      </w:r>
      <w:r>
        <w:rPr>
          <w:rFonts w:hint="eastAsia"/>
        </w:rPr>
        <w:t>。</w:t>
      </w:r>
    </w:p>
    <w:p>
      <w:pPr>
        <w:numPr>
          <w:ilvl w:val="0"/>
          <w:numId w:val="3"/>
        </w:numPr>
        <w:bidi w:val="0"/>
        <w:ind w:left="425" w:leftChars="0" w:hanging="425" w:firstLineChars="0"/>
        <w:outlineLvl w:val="0"/>
        <w:rPr>
          <w:rFonts w:hint="eastAsia" w:eastAsia="宋体"/>
          <w:b/>
          <w:bCs/>
          <w:sz w:val="28"/>
          <w:szCs w:val="28"/>
          <w:lang w:val="en-US" w:eastAsia="zh-CN"/>
        </w:rPr>
      </w:pPr>
      <w:bookmarkStart w:id="5" w:name="_Toc1103"/>
      <w:bookmarkStart w:id="6" w:name="_Toc25669"/>
      <w:r>
        <w:rPr>
          <w:rFonts w:hint="eastAsia" w:eastAsia="宋体"/>
          <w:b/>
          <w:bCs/>
          <w:sz w:val="28"/>
          <w:szCs w:val="28"/>
          <w:lang w:val="en-US" w:eastAsia="zh-CN"/>
        </w:rPr>
        <w:t>资质要求</w:t>
      </w:r>
      <w:bookmarkEnd w:id="5"/>
      <w:bookmarkEnd w:id="6"/>
    </w:p>
    <w:p>
      <w:pPr>
        <w:numPr>
          <w:ilvl w:val="1"/>
          <w:numId w:val="3"/>
        </w:numPr>
        <w:bidi w:val="0"/>
        <w:ind w:left="567" w:leftChars="0" w:hanging="567" w:firstLineChars="0"/>
        <w:rPr>
          <w:rFonts w:hint="eastAsia"/>
          <w:lang w:val="en-US" w:eastAsia="zh-CN"/>
        </w:rPr>
      </w:pPr>
      <w:r>
        <w:rPr>
          <w:rFonts w:hint="eastAsia"/>
          <w:lang w:val="en-US" w:eastAsia="zh-CN"/>
        </w:rPr>
        <w:t>供应商应具备《中华人民共和国政府采购法》第二十二条规定的条件，提供下列材料：</w:t>
      </w:r>
    </w:p>
    <w:p>
      <w:pPr>
        <w:numPr>
          <w:ilvl w:val="2"/>
          <w:numId w:val="3"/>
        </w:numPr>
        <w:bidi w:val="0"/>
        <w:rPr>
          <w:rFonts w:hint="eastAsia" w:eastAsia="宋体"/>
          <w:lang w:val="en-US" w:eastAsia="zh-CN"/>
        </w:rPr>
      </w:pPr>
      <w:r>
        <w:rPr>
          <w:rFonts w:hint="eastAsia" w:eastAsia="宋体"/>
          <w:lang w:val="en-US" w:eastAsia="zh-CN"/>
        </w:rPr>
        <w:t>具有独立承担民事责任的能力：在中华人民共和国境内注册的法人或其他组织或自然人，</w:t>
      </w:r>
      <w:r>
        <w:rPr>
          <w:rFonts w:hint="eastAsia"/>
          <w:lang w:val="en-US" w:eastAsia="zh-CN"/>
        </w:rPr>
        <w:t>比选</w:t>
      </w:r>
      <w:r>
        <w:rPr>
          <w:rFonts w:hint="eastAsia" w:eastAsia="宋体"/>
          <w:lang w:val="en-US" w:eastAsia="zh-CN"/>
        </w:rPr>
        <w:t>（响应）时提交有效的营业执照（或事业法人登记证或身份证等相关证明） 副本复印件。分支机构</w:t>
      </w:r>
      <w:r>
        <w:rPr>
          <w:rFonts w:hint="eastAsia"/>
          <w:lang w:val="en-US" w:eastAsia="zh-CN"/>
        </w:rPr>
        <w:t>响应</w:t>
      </w:r>
      <w:r>
        <w:rPr>
          <w:rFonts w:hint="eastAsia" w:eastAsia="宋体"/>
          <w:lang w:val="en-US" w:eastAsia="zh-CN"/>
        </w:rPr>
        <w:t>的，须提供总公司和分公司营业执照副本复印件，总公司出具给分支机构的授权书。</w:t>
      </w:r>
    </w:p>
    <w:p>
      <w:pPr>
        <w:numPr>
          <w:ilvl w:val="2"/>
          <w:numId w:val="3"/>
        </w:numPr>
        <w:bidi w:val="0"/>
        <w:rPr>
          <w:rFonts w:hint="eastAsia" w:eastAsia="宋体"/>
          <w:lang w:val="en-US" w:eastAsia="zh-CN"/>
        </w:rPr>
      </w:pPr>
      <w:r>
        <w:rPr>
          <w:rFonts w:hint="eastAsia" w:eastAsia="宋体"/>
          <w:lang w:val="en-US" w:eastAsia="zh-CN"/>
        </w:rPr>
        <w:t>有依法缴纳税收和社会保障资金的良好记录：有依法缴纳税收和社会保障资金的良好记录（提供资格承诺函）。</w:t>
      </w:r>
    </w:p>
    <w:p>
      <w:pPr>
        <w:numPr>
          <w:ilvl w:val="2"/>
          <w:numId w:val="3"/>
        </w:numPr>
        <w:bidi w:val="0"/>
        <w:rPr>
          <w:rFonts w:hint="eastAsia" w:eastAsia="宋体"/>
          <w:lang w:val="en-US" w:eastAsia="zh-CN"/>
        </w:rPr>
      </w:pPr>
      <w:r>
        <w:rPr>
          <w:rFonts w:hint="eastAsia" w:eastAsia="宋体"/>
          <w:lang w:val="en-US" w:eastAsia="zh-CN"/>
        </w:rPr>
        <w:t>具有良好的商业信誉和健全的财务会计制度：供应商必须具有良好的商业信誉和健全的财务会计制度（提供资格承诺函） 。</w:t>
      </w:r>
    </w:p>
    <w:p>
      <w:pPr>
        <w:numPr>
          <w:ilvl w:val="2"/>
          <w:numId w:val="3"/>
        </w:numPr>
        <w:bidi w:val="0"/>
        <w:rPr>
          <w:rFonts w:hint="eastAsia" w:eastAsia="宋体"/>
          <w:lang w:val="en-US" w:eastAsia="zh-CN"/>
        </w:rPr>
      </w:pPr>
      <w:r>
        <w:rPr>
          <w:rFonts w:hint="eastAsia" w:eastAsia="宋体"/>
          <w:lang w:val="en-US" w:eastAsia="zh-CN"/>
        </w:rPr>
        <w:t>履行合同所必需的设备和专业技术能力：按</w:t>
      </w:r>
      <w:r>
        <w:rPr>
          <w:rFonts w:hint="eastAsia"/>
          <w:lang w:val="en-US" w:eastAsia="zh-CN"/>
        </w:rPr>
        <w:t>比选</w:t>
      </w:r>
      <w:r>
        <w:rPr>
          <w:rFonts w:hint="eastAsia" w:eastAsia="宋体"/>
          <w:lang w:val="en-US" w:eastAsia="zh-CN"/>
        </w:rPr>
        <w:t>（响应）文件格式填报设备及专业技术能力情况（提供资格承诺函）。</w:t>
      </w:r>
    </w:p>
    <w:p>
      <w:pPr>
        <w:numPr>
          <w:ilvl w:val="1"/>
          <w:numId w:val="3"/>
        </w:numPr>
        <w:bidi w:val="0"/>
        <w:ind w:left="567" w:leftChars="0" w:hanging="567" w:firstLineChars="0"/>
        <w:rPr>
          <w:rFonts w:hint="eastAsia"/>
        </w:rPr>
      </w:pPr>
      <w:r>
        <w:rPr>
          <w:rFonts w:hint="eastAsia"/>
        </w:rPr>
        <w:t>本项目特定的资格要求：</w:t>
      </w:r>
      <w:r>
        <w:rPr>
          <w:rFonts w:hint="eastAsia"/>
          <w:lang w:val="en-US" w:eastAsia="zh-CN"/>
        </w:rPr>
        <w:t xml:space="preserve"> </w:t>
      </w:r>
    </w:p>
    <w:p>
      <w:pPr>
        <w:numPr>
          <w:ilvl w:val="2"/>
          <w:numId w:val="3"/>
        </w:numPr>
        <w:bidi w:val="0"/>
        <w:ind w:left="709" w:leftChars="0" w:hanging="709" w:firstLineChars="0"/>
        <w:rPr>
          <w:rFonts w:hint="eastAsia"/>
        </w:rPr>
      </w:pPr>
      <w:r>
        <w:rPr>
          <w:rFonts w:hint="eastAsia" w:eastAsia="宋体"/>
          <w:lang w:val="en-US" w:eastAsia="zh-CN"/>
        </w:rPr>
        <w:t>提供</w:t>
      </w:r>
      <w:r>
        <w:rPr>
          <w:rFonts w:hint="eastAsia"/>
          <w:lang w:val="en-US" w:eastAsia="zh-CN"/>
        </w:rPr>
        <w:t>现场勘察确认函</w:t>
      </w:r>
      <w:r>
        <w:rPr>
          <w:rFonts w:hint="eastAsia" w:eastAsia="宋体"/>
          <w:lang w:val="en-US" w:eastAsia="zh-CN"/>
        </w:rPr>
        <w:t>，</w:t>
      </w:r>
      <w:r>
        <w:rPr>
          <w:rFonts w:hint="eastAsia"/>
          <w:lang w:val="en-US" w:eastAsia="zh-CN"/>
        </w:rPr>
        <w:t>未</w:t>
      </w:r>
      <w:r>
        <w:rPr>
          <w:rFonts w:hint="eastAsia" w:eastAsia="宋体"/>
          <w:lang w:val="en-US" w:eastAsia="zh-CN"/>
        </w:rPr>
        <w:t>提供作无效投标处理</w:t>
      </w:r>
      <w:r>
        <w:rPr>
          <w:rFonts w:hint="eastAsia"/>
          <w:lang w:val="en-US" w:eastAsia="zh-CN"/>
        </w:rPr>
        <w:t>。</w:t>
      </w:r>
    </w:p>
    <w:p>
      <w:pPr>
        <w:numPr>
          <w:ilvl w:val="0"/>
          <w:numId w:val="3"/>
        </w:numPr>
        <w:bidi w:val="0"/>
        <w:ind w:left="425" w:leftChars="0" w:hanging="425" w:firstLineChars="0"/>
        <w:outlineLvl w:val="0"/>
        <w:rPr>
          <w:rFonts w:hint="eastAsia" w:eastAsia="宋体"/>
          <w:b/>
          <w:bCs/>
          <w:sz w:val="28"/>
          <w:szCs w:val="28"/>
          <w:lang w:val="en-US" w:eastAsia="zh-CN"/>
        </w:rPr>
      </w:pPr>
      <w:bookmarkStart w:id="7" w:name="_Toc26948"/>
      <w:bookmarkStart w:id="8" w:name="_Toc13744"/>
      <w:r>
        <w:rPr>
          <w:rFonts w:hint="eastAsia" w:eastAsia="宋体"/>
          <w:b/>
          <w:bCs/>
          <w:sz w:val="28"/>
          <w:szCs w:val="28"/>
          <w:lang w:val="en-US" w:eastAsia="zh-CN"/>
        </w:rPr>
        <w:t>维保范围</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锅炉房水处理设备。</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主要设备清单（仅供参考，以实地勘察为准，中标后不得以数量、种类、型号等差异要求增加服务费）</w:t>
      </w:r>
    </w:p>
    <w:tbl>
      <w:tblPr>
        <w:tblStyle w:val="26"/>
        <w:tblW w:w="51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1652"/>
        <w:gridCol w:w="2834"/>
        <w:gridCol w:w="858"/>
        <w:gridCol w:w="79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7"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项目</w:t>
            </w:r>
          </w:p>
        </w:tc>
        <w:tc>
          <w:tcPr>
            <w:tcW w:w="834"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名称</w:t>
            </w:r>
          </w:p>
        </w:tc>
        <w:tc>
          <w:tcPr>
            <w:tcW w:w="1431"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型号</w:t>
            </w:r>
          </w:p>
        </w:tc>
        <w:tc>
          <w:tcPr>
            <w:tcW w:w="433"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单位</w:t>
            </w:r>
          </w:p>
        </w:tc>
        <w:tc>
          <w:tcPr>
            <w:tcW w:w="403"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数量</w:t>
            </w:r>
          </w:p>
        </w:tc>
        <w:tc>
          <w:tcPr>
            <w:tcW w:w="808"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7" w:type="pct"/>
            <w:vMerge w:val="restar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锅炉水处理系统</w:t>
            </w:r>
          </w:p>
        </w:tc>
        <w:tc>
          <w:tcPr>
            <w:tcW w:w="834"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树脂罐</w:t>
            </w:r>
          </w:p>
        </w:tc>
        <w:tc>
          <w:tcPr>
            <w:tcW w:w="1431"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p>
        </w:tc>
        <w:tc>
          <w:tcPr>
            <w:tcW w:w="433"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台</w:t>
            </w:r>
          </w:p>
        </w:tc>
        <w:tc>
          <w:tcPr>
            <w:tcW w:w="403"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3</w:t>
            </w:r>
          </w:p>
        </w:tc>
        <w:tc>
          <w:tcPr>
            <w:tcW w:w="808"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7" w:type="pct"/>
            <w:vMerge w:val="continue"/>
            <w:vAlign w:val="center"/>
          </w:tcPr>
          <w:p>
            <w:pPr>
              <w:pStyle w:val="29"/>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vertAlign w:val="baseline"/>
                <w:lang w:val="en-US" w:eastAsia="zh-CN"/>
              </w:rPr>
            </w:pPr>
          </w:p>
        </w:tc>
        <w:tc>
          <w:tcPr>
            <w:tcW w:w="834"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机头</w:t>
            </w:r>
          </w:p>
        </w:tc>
        <w:tc>
          <w:tcPr>
            <w:tcW w:w="1431"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p>
        </w:tc>
        <w:tc>
          <w:tcPr>
            <w:tcW w:w="433"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台</w:t>
            </w:r>
          </w:p>
        </w:tc>
        <w:tc>
          <w:tcPr>
            <w:tcW w:w="403"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3</w:t>
            </w:r>
          </w:p>
        </w:tc>
        <w:tc>
          <w:tcPr>
            <w:tcW w:w="808"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p>
        </w:tc>
      </w:tr>
    </w:tbl>
    <w:p>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维</w:t>
      </w:r>
      <w:r>
        <w:rPr>
          <w:rFonts w:hint="eastAsia"/>
          <w:b/>
          <w:bCs/>
          <w:sz w:val="28"/>
          <w:szCs w:val="28"/>
          <w:lang w:val="en-US" w:eastAsia="zh-CN"/>
        </w:rPr>
        <w:t>保</w:t>
      </w:r>
      <w:r>
        <w:rPr>
          <w:rFonts w:hint="eastAsia" w:eastAsia="宋体"/>
          <w:b/>
          <w:bCs/>
          <w:sz w:val="28"/>
          <w:szCs w:val="28"/>
          <w:lang w:val="en-US" w:eastAsia="zh-CN"/>
        </w:rPr>
        <w:t>技术要求</w:t>
      </w:r>
      <w:bookmarkEnd w:id="7"/>
      <w:bookmarkEnd w:id="8"/>
    </w:p>
    <w:p>
      <w:pPr>
        <w:numPr>
          <w:ilvl w:val="1"/>
          <w:numId w:val="3"/>
        </w:numPr>
        <w:bidi w:val="0"/>
        <w:ind w:left="567" w:leftChars="0" w:hanging="567" w:firstLineChars="0"/>
        <w:rPr>
          <w:rFonts w:hint="eastAsia" w:eastAsia="宋体"/>
          <w:lang w:val="en-US" w:eastAsia="zh-CN"/>
        </w:rPr>
      </w:pPr>
      <w:r>
        <w:rPr>
          <w:rFonts w:hint="eastAsia"/>
          <w:lang w:val="en-US" w:eastAsia="zh-CN"/>
        </w:rPr>
        <w:t>维保方</w:t>
      </w:r>
      <w:r>
        <w:rPr>
          <w:rFonts w:hint="eastAsia" w:eastAsia="宋体"/>
          <w:lang w:val="en-US" w:eastAsia="zh-CN"/>
        </w:rPr>
        <w:t>负责为院内锅炉房水处理提供维修保养服务，维保工作中产生的人工费、车旅费等由</w:t>
      </w:r>
      <w:r>
        <w:rPr>
          <w:rFonts w:hint="eastAsia"/>
          <w:lang w:val="en-US" w:eastAsia="zh-CN"/>
        </w:rPr>
        <w:t>维保方</w:t>
      </w:r>
      <w:r>
        <w:rPr>
          <w:rFonts w:hint="eastAsia" w:eastAsia="宋体"/>
          <w:lang w:val="en-US" w:eastAsia="zh-CN"/>
        </w:rPr>
        <w:t>承担，产生的材料费由院方承担，更换下来的部件归院方所有。</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每季度对锅炉水处理系统进行1次现场检查，及时发现消除隐患。</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为锅炉水处理系统（机头、树脂罐等）提供维修、更换服务:</w:t>
      </w:r>
    </w:p>
    <w:p>
      <w:pPr>
        <w:numPr>
          <w:ilvl w:val="2"/>
          <w:numId w:val="3"/>
        </w:numPr>
        <w:bidi w:val="0"/>
        <w:rPr>
          <w:rFonts w:hint="eastAsia" w:eastAsia="宋体"/>
          <w:lang w:val="en-US" w:eastAsia="zh-CN"/>
        </w:rPr>
      </w:pPr>
      <w:r>
        <w:rPr>
          <w:rFonts w:hint="eastAsia" w:eastAsia="宋体"/>
          <w:lang w:val="en-US" w:eastAsia="zh-CN"/>
        </w:rPr>
        <w:t>机头：调试及损坏后更换。</w:t>
      </w:r>
    </w:p>
    <w:p>
      <w:pPr>
        <w:numPr>
          <w:ilvl w:val="2"/>
          <w:numId w:val="3"/>
        </w:numPr>
        <w:bidi w:val="0"/>
        <w:rPr>
          <w:rFonts w:hint="eastAsia" w:eastAsia="宋体"/>
          <w:lang w:val="en-US" w:eastAsia="zh-CN"/>
        </w:rPr>
      </w:pPr>
      <w:r>
        <w:rPr>
          <w:rFonts w:hint="eastAsia" w:eastAsia="宋体"/>
          <w:lang w:val="en-US" w:eastAsia="zh-CN"/>
        </w:rPr>
        <w:t>树脂罐：每季度进行一次水质检测，根据水质情况确定是否需要更换树脂，树脂更换产生的人工费含维保范围内。</w:t>
      </w:r>
    </w:p>
    <w:p>
      <w:pPr>
        <w:numPr>
          <w:ilvl w:val="2"/>
          <w:numId w:val="3"/>
        </w:numPr>
        <w:bidi w:val="0"/>
        <w:rPr>
          <w:rFonts w:hint="eastAsia" w:eastAsia="宋体"/>
          <w:lang w:val="en-US" w:eastAsia="zh-CN"/>
        </w:rPr>
      </w:pPr>
      <w:r>
        <w:rPr>
          <w:rFonts w:hint="eastAsia" w:eastAsia="宋体"/>
          <w:lang w:val="en-US" w:eastAsia="zh-CN"/>
        </w:rPr>
        <w:t>对树脂罐内部配件进行检查，根据实际情况进行更换，确保不出现因内部配件损坏而造成树脂外溢现象。</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每季度现场检查结束后，向院方提交巡检报告，如检查中发现隐患须在巡检报告上注明，并制定相应整改措施。</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接到故障报修，4小时内维保人员到场，故障未排除前或未能有效开展应急供水前不得离开医院。</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合同期内，院方有权对维保方的工作质量进行监管。当院方经电话或书面致函通知后，维保方仍不进场维保或虽在要求的时间内进场维保，但在维保过程中因维保方原因导致未能及时修复，院方有权委托维保方以外的第三方进行维保，所发生的人工费、车旅费等由维保方承担，并须承担违约金500元。</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向院方提供易损件清单，便于院方备货。</w:t>
      </w:r>
    </w:p>
    <w:p>
      <w:pPr>
        <w:numPr>
          <w:ilvl w:val="0"/>
          <w:numId w:val="3"/>
        </w:numPr>
        <w:bidi w:val="0"/>
        <w:ind w:left="425" w:leftChars="0" w:hanging="425" w:firstLineChars="0"/>
        <w:outlineLvl w:val="0"/>
        <w:rPr>
          <w:rFonts w:hint="eastAsia" w:eastAsia="宋体"/>
          <w:b/>
          <w:bCs/>
          <w:color w:val="auto"/>
          <w:sz w:val="28"/>
          <w:szCs w:val="28"/>
          <w:lang w:val="en-US" w:eastAsia="zh-CN"/>
        </w:rPr>
      </w:pPr>
      <w:bookmarkStart w:id="9" w:name="_Toc24671"/>
      <w:bookmarkStart w:id="10" w:name="_Toc28068"/>
      <w:r>
        <w:rPr>
          <w:rFonts w:hint="eastAsia" w:eastAsia="宋体"/>
          <w:b/>
          <w:bCs/>
          <w:color w:val="auto"/>
          <w:sz w:val="28"/>
          <w:szCs w:val="28"/>
          <w:lang w:val="en-US" w:eastAsia="zh-CN"/>
        </w:rPr>
        <w:t>商务要求</w:t>
      </w:r>
      <w:bookmarkEnd w:id="9"/>
      <w:bookmarkEnd w:id="10"/>
    </w:p>
    <w:p>
      <w:pPr>
        <w:numPr>
          <w:ilvl w:val="1"/>
          <w:numId w:val="3"/>
        </w:numPr>
        <w:bidi w:val="0"/>
        <w:ind w:left="567" w:leftChars="0" w:hanging="567" w:firstLineChars="0"/>
        <w:rPr>
          <w:rFonts w:hint="eastAsia"/>
          <w:color w:val="auto"/>
        </w:rPr>
      </w:pPr>
      <w:r>
        <w:rPr>
          <w:rFonts w:hint="eastAsia"/>
          <w:color w:val="auto"/>
        </w:rPr>
        <w:t>维保工作中如需更换材料，由维保方提供材料品牌、型号及规格，院方采购。如遇急修或院方无法及时提供材料，则由维保方购买，院方按实审计结算；维保方对提供的零配件（＞1000元）作质量担保，质保期1年（安装调试合格起计时，由于院方使用不当造成的损坏不在质量担保之列）。</w:t>
      </w:r>
    </w:p>
    <w:p>
      <w:pPr>
        <w:numPr>
          <w:ilvl w:val="1"/>
          <w:numId w:val="3"/>
        </w:numPr>
        <w:bidi w:val="0"/>
        <w:ind w:left="567" w:leftChars="0" w:hanging="567" w:firstLineChars="0"/>
        <w:rPr>
          <w:rFonts w:hint="eastAsia"/>
          <w:color w:val="auto"/>
        </w:rPr>
      </w:pPr>
      <w:r>
        <w:rPr>
          <w:rFonts w:hint="eastAsia"/>
          <w:color w:val="auto"/>
        </w:rPr>
        <w:t>合同期满后，如果双方不继续合作，院方应确保届满前1个月通知维保方，维保方必须确保院方锅炉</w:t>
      </w:r>
      <w:bookmarkStart w:id="47" w:name="_GoBack"/>
      <w:bookmarkEnd w:id="47"/>
      <w:r>
        <w:rPr>
          <w:rFonts w:hint="eastAsia"/>
          <w:color w:val="auto"/>
        </w:rPr>
        <w:t>房水处理保养工作已有效开展后方可撤离，对延续期间产生的费用，院方按原合同服务费标准予以结算。</w:t>
      </w:r>
    </w:p>
    <w:p>
      <w:pPr>
        <w:numPr>
          <w:ilvl w:val="1"/>
          <w:numId w:val="3"/>
        </w:numPr>
        <w:bidi w:val="0"/>
        <w:ind w:left="567" w:leftChars="0" w:hanging="567" w:firstLineChars="0"/>
        <w:rPr>
          <w:rFonts w:hint="eastAsia"/>
          <w:color w:val="auto"/>
        </w:rPr>
      </w:pPr>
      <w:r>
        <w:rPr>
          <w:rFonts w:hint="eastAsia"/>
          <w:color w:val="auto"/>
        </w:rPr>
        <w:t xml:space="preserve">付款方式：六个月结算一次，乙方提供等额发票。考核分 ≥90分的，院方全额支付，考核分＜90分的，每下降一分扣除年维保费的2%。 </w:t>
      </w:r>
    </w:p>
    <w:p>
      <w:pPr>
        <w:numPr>
          <w:ilvl w:val="1"/>
          <w:numId w:val="3"/>
        </w:numPr>
        <w:bidi w:val="0"/>
        <w:ind w:left="567" w:leftChars="0" w:hanging="567" w:firstLineChars="0"/>
        <w:rPr>
          <w:rFonts w:hint="eastAsia"/>
          <w:color w:val="auto"/>
        </w:rPr>
      </w:pPr>
      <w:r>
        <w:rPr>
          <w:rFonts w:hint="eastAsia"/>
          <w:color w:val="auto"/>
          <w:lang w:val="en-US" w:eastAsia="zh-CN"/>
        </w:rPr>
        <w:t>维保期：3年。</w:t>
      </w:r>
    </w:p>
    <w:p>
      <w:pPr>
        <w:numPr>
          <w:ilvl w:val="1"/>
          <w:numId w:val="3"/>
        </w:numPr>
        <w:bidi w:val="0"/>
        <w:ind w:left="567" w:leftChars="0" w:hanging="567" w:firstLineChars="0"/>
        <w:rPr>
          <w:rFonts w:hint="eastAsia"/>
          <w:color w:val="auto"/>
        </w:rPr>
      </w:pPr>
      <w:r>
        <w:rPr>
          <w:rFonts w:hint="eastAsia"/>
          <w:color w:val="auto"/>
        </w:rPr>
        <w:t>本项目无增补。</w:t>
      </w:r>
    </w:p>
    <w:p>
      <w:pPr>
        <w:numPr>
          <w:ilvl w:val="0"/>
          <w:numId w:val="3"/>
        </w:numPr>
        <w:bidi w:val="0"/>
        <w:ind w:left="425" w:leftChars="0" w:hanging="425" w:firstLineChars="0"/>
        <w:outlineLvl w:val="0"/>
        <w:rPr>
          <w:rFonts w:hint="default" w:eastAsia="宋体"/>
          <w:b/>
          <w:bCs/>
          <w:color w:val="auto"/>
          <w:sz w:val="28"/>
          <w:szCs w:val="28"/>
          <w:lang w:val="en-US" w:eastAsia="zh-CN"/>
        </w:rPr>
      </w:pPr>
      <w:bookmarkStart w:id="11" w:name="_Toc3739"/>
      <w:bookmarkStart w:id="12" w:name="_Toc27123"/>
      <w:r>
        <w:rPr>
          <w:rFonts w:hint="eastAsia" w:eastAsia="宋体"/>
          <w:b/>
          <w:bCs/>
          <w:color w:val="auto"/>
          <w:sz w:val="28"/>
          <w:szCs w:val="28"/>
          <w:lang w:val="en-US" w:eastAsia="zh-CN"/>
        </w:rPr>
        <w:t>其它</w:t>
      </w:r>
      <w:bookmarkEnd w:id="11"/>
      <w:bookmarkEnd w:id="12"/>
    </w:p>
    <w:p>
      <w:pPr>
        <w:numPr>
          <w:ilvl w:val="1"/>
          <w:numId w:val="3"/>
        </w:numPr>
        <w:bidi w:val="0"/>
        <w:ind w:left="567" w:leftChars="0" w:hanging="567" w:firstLineChars="0"/>
        <w:rPr>
          <w:rFonts w:hint="eastAsia" w:eastAsia="宋体"/>
          <w:color w:val="auto"/>
        </w:rPr>
      </w:pPr>
      <w:r>
        <w:rPr>
          <w:rFonts w:hint="eastAsia" w:eastAsia="宋体"/>
          <w:color w:val="auto"/>
        </w:rPr>
        <w:t>院方</w:t>
      </w:r>
      <w:r>
        <w:rPr>
          <w:rFonts w:hint="eastAsia"/>
          <w:color w:val="auto"/>
          <w:lang w:eastAsia="zh-CN"/>
        </w:rPr>
        <w:t>将</w:t>
      </w:r>
      <w:r>
        <w:rPr>
          <w:rFonts w:hint="eastAsia" w:eastAsia="宋体"/>
          <w:color w:val="auto"/>
        </w:rPr>
        <w:t>为维保方进行全面保养、维修工作提供必要的条件，例如：向维保方及时提供设备故障信息，必要的操作空间、时间及必要的设施等。</w:t>
      </w:r>
    </w:p>
    <w:p>
      <w:pPr>
        <w:numPr>
          <w:ilvl w:val="1"/>
          <w:numId w:val="3"/>
        </w:numPr>
        <w:bidi w:val="0"/>
        <w:ind w:left="567" w:leftChars="0" w:hanging="567" w:firstLineChars="0"/>
        <w:rPr>
          <w:rFonts w:hint="eastAsia" w:eastAsia="宋体"/>
          <w:color w:val="auto"/>
        </w:rPr>
      </w:pPr>
      <w:r>
        <w:rPr>
          <w:rFonts w:hint="eastAsia" w:eastAsia="宋体"/>
          <w:color w:val="auto"/>
        </w:rPr>
        <w:t>维保中所使用到的水、电、气，费用由院方承担。</w:t>
      </w:r>
    </w:p>
    <w:p>
      <w:pPr>
        <w:numPr>
          <w:ilvl w:val="1"/>
          <w:numId w:val="3"/>
        </w:numPr>
        <w:bidi w:val="0"/>
        <w:ind w:left="567" w:leftChars="0" w:hanging="567" w:firstLineChars="0"/>
        <w:rPr>
          <w:rFonts w:hint="eastAsia" w:eastAsia="宋体"/>
          <w:color w:val="auto"/>
        </w:rPr>
      </w:pPr>
      <w:r>
        <w:rPr>
          <w:rFonts w:hint="eastAsia" w:eastAsia="宋体"/>
          <w:color w:val="auto"/>
        </w:rPr>
        <w:t>考核标准</w:t>
      </w:r>
      <w:r>
        <w:rPr>
          <w:rFonts w:hint="eastAsia"/>
          <w:color w:val="auto"/>
          <w:lang w:eastAsia="zh-CN"/>
        </w:rPr>
        <w:t>：</w:t>
      </w:r>
      <w:r>
        <w:rPr>
          <w:rFonts w:hint="eastAsia" w:eastAsia="宋体"/>
          <w:color w:val="auto"/>
        </w:rPr>
        <w:t xml:space="preserve">考核每季1次，对维保服务规范与质量进行考核。      </w:t>
      </w:r>
    </w:p>
    <w:p>
      <w:pPr>
        <w:numPr>
          <w:ilvl w:val="2"/>
          <w:numId w:val="3"/>
        </w:numPr>
        <w:bidi w:val="0"/>
        <w:rPr>
          <w:rFonts w:hint="eastAsia" w:eastAsia="宋体"/>
          <w:color w:val="auto"/>
          <w:lang w:val="en-US" w:eastAsia="zh-CN"/>
        </w:rPr>
      </w:pPr>
      <w:r>
        <w:rPr>
          <w:rFonts w:hint="eastAsia" w:eastAsia="宋体"/>
          <w:color w:val="auto"/>
          <w:lang w:val="en-US" w:eastAsia="zh-CN"/>
        </w:rPr>
        <w:t>当季考核分 ≥90分为合格。</w:t>
      </w:r>
    </w:p>
    <w:p>
      <w:pPr>
        <w:numPr>
          <w:ilvl w:val="2"/>
          <w:numId w:val="3"/>
        </w:numPr>
        <w:bidi w:val="0"/>
        <w:rPr>
          <w:rFonts w:hint="eastAsia" w:eastAsia="宋体"/>
          <w:color w:val="auto"/>
          <w:lang w:val="en-US" w:eastAsia="zh-CN"/>
        </w:rPr>
      </w:pPr>
      <w:r>
        <w:rPr>
          <w:rFonts w:hint="eastAsia" w:eastAsia="宋体"/>
          <w:color w:val="auto"/>
          <w:lang w:val="en-US" w:eastAsia="zh-CN"/>
        </w:rPr>
        <w:t>季度考核分＜90分且连续出现3次的，院方有权单方面终止合同。</w:t>
      </w:r>
    </w:p>
    <w:p>
      <w:pPr>
        <w:numPr>
          <w:ilvl w:val="2"/>
          <w:numId w:val="3"/>
        </w:numPr>
        <w:bidi w:val="0"/>
        <w:rPr>
          <w:rFonts w:hint="eastAsia" w:eastAsia="宋体"/>
          <w:color w:val="auto"/>
          <w:lang w:val="en-US" w:eastAsia="zh-CN"/>
        </w:rPr>
      </w:pPr>
      <w:r>
        <w:rPr>
          <w:rFonts w:hint="eastAsia" w:eastAsia="宋体"/>
          <w:color w:val="auto"/>
          <w:lang w:val="en-US" w:eastAsia="zh-CN"/>
        </w:rPr>
        <w:t>全年累计出现3次考核分≤80分的，院方有权单方面终止合同。</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整个维保服务过程中的安全法律责任由维保方承担，与院方无涉。</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勘察要求：投标单位应现场勘察，有疑问在投标前与院方代表及时沟通，中标后一切以院方定义为准，否则视为违约。</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现场踏勘联系人：彭科长，联系电话：13952831345。</w:t>
      </w:r>
    </w:p>
    <w:p>
      <w:pPr>
        <w:numPr>
          <w:ilvl w:val="0"/>
          <w:numId w:val="3"/>
        </w:numPr>
        <w:bidi w:val="0"/>
        <w:ind w:left="425" w:leftChars="0" w:hanging="425" w:firstLineChars="0"/>
        <w:outlineLvl w:val="0"/>
        <w:rPr>
          <w:rFonts w:hint="eastAsia" w:eastAsia="宋体"/>
          <w:b/>
          <w:bCs/>
          <w:color w:val="auto"/>
          <w:sz w:val="28"/>
          <w:szCs w:val="28"/>
          <w:lang w:val="en-US" w:eastAsia="zh-CN"/>
        </w:rPr>
      </w:pPr>
      <w:bookmarkStart w:id="13" w:name="_Toc10480"/>
      <w:bookmarkStart w:id="14" w:name="_Toc7920"/>
      <w:r>
        <w:rPr>
          <w:rFonts w:hint="eastAsia"/>
          <w:b/>
          <w:bCs/>
          <w:color w:val="auto"/>
          <w:sz w:val="28"/>
          <w:szCs w:val="28"/>
          <w:lang w:val="en-US" w:eastAsia="zh-CN"/>
        </w:rPr>
        <w:t>比选</w:t>
      </w:r>
      <w:r>
        <w:rPr>
          <w:rFonts w:hint="eastAsia" w:eastAsia="宋体"/>
          <w:b/>
          <w:bCs/>
          <w:color w:val="auto"/>
          <w:sz w:val="28"/>
          <w:szCs w:val="28"/>
          <w:lang w:val="en-US" w:eastAsia="zh-CN"/>
        </w:rPr>
        <w:t>时间及地点</w:t>
      </w:r>
      <w:bookmarkEnd w:id="13"/>
      <w:bookmarkEnd w:id="14"/>
    </w:p>
    <w:p>
      <w:pPr>
        <w:numPr>
          <w:ilvl w:val="1"/>
          <w:numId w:val="3"/>
        </w:numPr>
        <w:bidi w:val="0"/>
        <w:ind w:left="567" w:leftChars="0" w:hanging="567" w:firstLineChars="0"/>
        <w:rPr>
          <w:rFonts w:hint="eastAsia"/>
          <w:color w:val="auto"/>
        </w:rPr>
      </w:pPr>
      <w:r>
        <w:rPr>
          <w:rFonts w:hint="eastAsia"/>
          <w:color w:val="auto"/>
          <w:lang w:val="en-US" w:eastAsia="zh-CN"/>
        </w:rPr>
        <w:t>比选</w:t>
      </w:r>
      <w:r>
        <w:rPr>
          <w:rFonts w:hint="eastAsia"/>
          <w:color w:val="auto"/>
        </w:rPr>
        <w:t>时间：医院通知；</w:t>
      </w:r>
    </w:p>
    <w:p>
      <w:pPr>
        <w:numPr>
          <w:ilvl w:val="1"/>
          <w:numId w:val="3"/>
        </w:numPr>
        <w:bidi w:val="0"/>
        <w:ind w:left="567" w:leftChars="0" w:hanging="567" w:firstLineChars="0"/>
        <w:rPr>
          <w:rFonts w:hint="eastAsia"/>
          <w:color w:val="auto"/>
        </w:rPr>
      </w:pPr>
      <w:r>
        <w:rPr>
          <w:rFonts w:hint="eastAsia"/>
          <w:color w:val="auto"/>
          <w:lang w:val="en-US" w:eastAsia="zh-CN"/>
        </w:rPr>
        <w:t>比选</w:t>
      </w:r>
      <w:r>
        <w:rPr>
          <w:rFonts w:hint="eastAsia"/>
          <w:color w:val="auto"/>
        </w:rPr>
        <w:t>地点：院内会议室；</w:t>
      </w:r>
    </w:p>
    <w:p>
      <w:pPr>
        <w:numPr>
          <w:ilvl w:val="1"/>
          <w:numId w:val="3"/>
        </w:numPr>
        <w:bidi w:val="0"/>
        <w:ind w:left="567" w:leftChars="0" w:hanging="567" w:firstLineChars="0"/>
        <w:rPr>
          <w:rFonts w:hint="eastAsia"/>
          <w:color w:val="auto"/>
        </w:rPr>
      </w:pPr>
      <w:r>
        <w:rPr>
          <w:rFonts w:hint="eastAsia"/>
          <w:color w:val="auto"/>
          <w:lang w:val="en-US" w:eastAsia="zh-CN"/>
        </w:rPr>
        <w:t>比选响应</w:t>
      </w:r>
      <w:r>
        <w:rPr>
          <w:rFonts w:hint="eastAsia"/>
          <w:color w:val="auto"/>
        </w:rPr>
        <w:t>文件1式</w:t>
      </w:r>
      <w:r>
        <w:rPr>
          <w:rFonts w:hint="eastAsia"/>
          <w:color w:val="auto"/>
          <w:lang w:val="en-US" w:eastAsia="zh-CN"/>
        </w:rPr>
        <w:t>3份</w:t>
      </w:r>
      <w:r>
        <w:rPr>
          <w:rFonts w:hint="eastAsia"/>
          <w:color w:val="auto"/>
        </w:rPr>
        <w:t>，</w:t>
      </w:r>
      <w:r>
        <w:rPr>
          <w:rFonts w:hint="eastAsia"/>
          <w:color w:val="auto"/>
          <w:lang w:val="en-US" w:eastAsia="zh-CN"/>
        </w:rPr>
        <w:t>比选</w:t>
      </w:r>
      <w:r>
        <w:rPr>
          <w:rFonts w:hint="eastAsia"/>
          <w:color w:val="auto"/>
        </w:rPr>
        <w:t>时提供（格式参见第二部分）。</w:t>
      </w:r>
    </w:p>
    <w:p>
      <w:pPr>
        <w:numPr>
          <w:ilvl w:val="0"/>
          <w:numId w:val="3"/>
        </w:numPr>
        <w:bidi w:val="0"/>
        <w:ind w:left="425" w:leftChars="0" w:hanging="425" w:firstLineChars="0"/>
        <w:outlineLvl w:val="0"/>
        <w:rPr>
          <w:rFonts w:hint="eastAsia" w:eastAsia="宋体"/>
          <w:b/>
          <w:bCs/>
          <w:sz w:val="28"/>
          <w:szCs w:val="28"/>
          <w:lang w:val="en-US" w:eastAsia="zh-CN"/>
        </w:rPr>
      </w:pPr>
      <w:bookmarkStart w:id="15" w:name="_Toc14655"/>
      <w:bookmarkStart w:id="16" w:name="_Toc6963"/>
      <w:r>
        <w:rPr>
          <w:rFonts w:hint="eastAsia"/>
          <w:b/>
          <w:bCs/>
          <w:color w:val="auto"/>
          <w:sz w:val="28"/>
          <w:szCs w:val="28"/>
          <w:lang w:val="en-US" w:eastAsia="zh-CN"/>
        </w:rPr>
        <w:t>参与比选人</w:t>
      </w:r>
      <w:r>
        <w:rPr>
          <w:rFonts w:hint="eastAsia" w:eastAsia="宋体"/>
          <w:b/>
          <w:bCs/>
          <w:color w:val="auto"/>
          <w:sz w:val="28"/>
          <w:szCs w:val="28"/>
          <w:lang w:val="en-US" w:eastAsia="zh-CN"/>
        </w:rPr>
        <w:t>报名时提交材料</w:t>
      </w:r>
      <w:bookmarkEnd w:id="15"/>
      <w:bookmarkEnd w:id="16"/>
    </w:p>
    <w:p>
      <w:pPr>
        <w:numPr>
          <w:ilvl w:val="1"/>
          <w:numId w:val="3"/>
        </w:numPr>
        <w:bidi w:val="0"/>
        <w:ind w:left="567" w:leftChars="0" w:hanging="567" w:firstLineChars="0"/>
        <w:rPr>
          <w:rFonts w:hint="eastAsia"/>
        </w:rPr>
      </w:pPr>
      <w:r>
        <w:rPr>
          <w:rFonts w:hint="eastAsia"/>
        </w:rPr>
        <w:t>营业执照复印件（复印件盖公章）；</w:t>
      </w:r>
    </w:p>
    <w:p>
      <w:pPr>
        <w:numPr>
          <w:ilvl w:val="1"/>
          <w:numId w:val="3"/>
        </w:numPr>
        <w:bidi w:val="0"/>
        <w:ind w:left="567" w:leftChars="0" w:hanging="567" w:firstLineChars="0"/>
        <w:rPr>
          <w:rFonts w:hint="eastAsia"/>
        </w:rPr>
      </w:pPr>
      <w:r>
        <w:rPr>
          <w:rFonts w:hint="eastAsia"/>
        </w:rPr>
        <w:t>法人授权委托书及被授权人身份证复印件，法人参加报名的提供法人身份证复印件；</w:t>
      </w:r>
    </w:p>
    <w:p>
      <w:pPr>
        <w:rPr>
          <w:rFonts w:hint="eastAsia"/>
        </w:rPr>
      </w:pPr>
      <w:r>
        <w:rPr>
          <w:rFonts w:hint="eastAsia"/>
        </w:rPr>
        <w:br w:type="page"/>
      </w:r>
    </w:p>
    <w:p>
      <w:pPr>
        <w:spacing w:line="30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附件1</w:t>
      </w:r>
    </w:p>
    <w:p>
      <w:pPr>
        <w:spacing w:line="300" w:lineRule="auto"/>
        <w:jc w:val="center"/>
        <w:rPr>
          <w:rFonts w:hint="eastAsia" w:ascii="华文细黑" w:hAnsi="华文细黑" w:eastAsia="华文细黑" w:cs="华文细黑"/>
          <w:color w:val="FF0000"/>
          <w:sz w:val="28"/>
          <w:szCs w:val="28"/>
          <w:lang w:val="en-US" w:eastAsia="zh-CN"/>
        </w:rPr>
      </w:pPr>
      <w:r>
        <w:rPr>
          <w:rFonts w:hint="eastAsia" w:ascii="宋体" w:hAnsi="宋体" w:cs="宋体"/>
          <w:b/>
          <w:bCs/>
          <w:sz w:val="24"/>
          <w:szCs w:val="24"/>
          <w:lang w:val="en-US" w:eastAsia="zh-CN"/>
        </w:rPr>
        <w:t>锅炉水处理维保质量季度</w:t>
      </w:r>
      <w:r>
        <w:rPr>
          <w:rFonts w:hint="eastAsia" w:ascii="宋体" w:hAnsi="宋体" w:eastAsia="宋体" w:cs="宋体"/>
          <w:b/>
          <w:bCs/>
          <w:sz w:val="24"/>
          <w:szCs w:val="24"/>
          <w:lang w:val="en-US"/>
        </w:rPr>
        <w:t>考核表</w:t>
      </w:r>
    </w:p>
    <w:tbl>
      <w:tblPr>
        <w:tblStyle w:val="25"/>
        <w:tblpPr w:leftFromText="180" w:rightFromText="180" w:vertAnchor="text" w:horzAnchor="margin" w:tblpXSpec="center" w:tblpY="26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4161"/>
        <w:gridCol w:w="2229"/>
        <w:gridCol w:w="673"/>
        <w:gridCol w:w="673"/>
        <w:gridCol w:w="673"/>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70"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项目</w:t>
            </w:r>
          </w:p>
        </w:tc>
        <w:tc>
          <w:tcPr>
            <w:tcW w:w="4161"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考核内容</w:t>
            </w:r>
          </w:p>
        </w:tc>
        <w:tc>
          <w:tcPr>
            <w:tcW w:w="2229"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lang w:val="en-US" w:eastAsia="zh-CN"/>
              </w:rPr>
            </w:pPr>
            <w:r>
              <w:rPr>
                <w:rFonts w:hint="eastAsia" w:ascii="华文细黑" w:hAnsi="华文细黑" w:eastAsia="华文细黑" w:cs="华文细黑"/>
                <w:b/>
                <w:bCs/>
                <w:sz w:val="21"/>
                <w:szCs w:val="21"/>
              </w:rPr>
              <w:t>考核</w:t>
            </w:r>
            <w:r>
              <w:rPr>
                <w:rFonts w:hint="eastAsia" w:ascii="华文细黑" w:hAnsi="华文细黑" w:eastAsia="华文细黑" w:cs="华文细黑"/>
                <w:b/>
                <w:bCs/>
                <w:sz w:val="21"/>
                <w:szCs w:val="21"/>
                <w:lang w:val="en-US" w:eastAsia="zh-CN"/>
              </w:rPr>
              <w:t>标准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分值</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扣分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得分</w:t>
            </w:r>
          </w:p>
        </w:tc>
        <w:tc>
          <w:tcPr>
            <w:tcW w:w="676"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970" w:type="dxa"/>
            <w:vMerge w:val="restart"/>
            <w:tcBorders>
              <w:tl2br w:val="nil"/>
              <w:tr2bl w:val="nil"/>
            </w:tcBorders>
            <w:noWrap w:val="0"/>
            <w:vAlign w:val="center"/>
          </w:tcPr>
          <w:p>
            <w:pPr>
              <w:spacing w:line="300" w:lineRule="auto"/>
              <w:rPr>
                <w:rFonts w:hint="eastAsia" w:ascii="华文细黑" w:hAnsi="华文细黑" w:eastAsia="华文细黑" w:cs="华文细黑"/>
                <w:b/>
                <w:bCs/>
                <w:sz w:val="18"/>
                <w:szCs w:val="18"/>
                <w:lang w:val="en-US" w:eastAsia="zh-CN"/>
              </w:rPr>
            </w:pPr>
            <w:r>
              <w:rPr>
                <w:rFonts w:hint="eastAsia" w:ascii="华文细黑" w:hAnsi="华文细黑" w:eastAsia="华文细黑" w:cs="华文细黑"/>
                <w:b/>
                <w:bCs/>
                <w:sz w:val="18"/>
                <w:szCs w:val="18"/>
                <w:lang w:val="en-US" w:eastAsia="zh-CN"/>
              </w:rPr>
              <w:t>服务规范</w:t>
            </w:r>
          </w:p>
          <w:p>
            <w:pPr>
              <w:spacing w:line="300" w:lineRule="auto"/>
              <w:rPr>
                <w:rFonts w:hint="eastAsia" w:ascii="华文细黑" w:hAnsi="华文细黑" w:eastAsia="华文细黑" w:cs="华文细黑"/>
                <w:b/>
                <w:bCs/>
                <w:sz w:val="15"/>
                <w:szCs w:val="15"/>
                <w:lang w:val="en-US" w:eastAsia="zh-CN"/>
              </w:rPr>
            </w:pPr>
            <w:r>
              <w:rPr>
                <w:rFonts w:hint="eastAsia" w:ascii="华文细黑" w:hAnsi="华文细黑" w:eastAsia="华文细黑" w:cs="华文细黑"/>
                <w:b/>
                <w:bCs/>
                <w:sz w:val="18"/>
                <w:szCs w:val="18"/>
                <w:lang w:val="en-US" w:eastAsia="zh-CN"/>
              </w:rPr>
              <w:t>（40）</w:t>
            </w:r>
          </w:p>
        </w:tc>
        <w:tc>
          <w:tcPr>
            <w:tcW w:w="4161" w:type="dxa"/>
            <w:tcBorders>
              <w:tl2br w:val="nil"/>
              <w:tr2bl w:val="nil"/>
            </w:tcBorders>
            <w:noWrap w:val="0"/>
            <w:vAlign w:val="center"/>
          </w:tcPr>
          <w:p>
            <w:pPr>
              <w:snapToGrid w:val="0"/>
              <w:spacing w:line="300" w:lineRule="auto"/>
              <w:jc w:val="both"/>
              <w:rPr>
                <w:rFonts w:hint="default"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pPr>
            <w:r>
              <w:rPr>
                <w:rFonts w:hint="eastAsia"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t xml:space="preserve"> 是否携带必要的维保工具</w:t>
            </w:r>
          </w:p>
        </w:tc>
        <w:tc>
          <w:tcPr>
            <w:tcW w:w="2229" w:type="dxa"/>
            <w:tcBorders>
              <w:tl2br w:val="nil"/>
              <w:tr2bl w:val="nil"/>
            </w:tcBorders>
            <w:noWrap w:val="0"/>
            <w:vAlign w:val="center"/>
          </w:tcPr>
          <w:p>
            <w:pPr>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lang w:val="en-US" w:eastAsia="zh-CN"/>
              </w:rPr>
            </w:pPr>
          </w:p>
        </w:tc>
        <w:tc>
          <w:tcPr>
            <w:tcW w:w="4161" w:type="dxa"/>
            <w:tcBorders>
              <w:tl2br w:val="nil"/>
              <w:tr2bl w:val="nil"/>
            </w:tcBorders>
            <w:noWrap w:val="0"/>
            <w:vAlign w:val="center"/>
          </w:tcPr>
          <w:p>
            <w:pPr>
              <w:snapToGrid w:val="0"/>
              <w:spacing w:line="300" w:lineRule="auto"/>
              <w:jc w:val="both"/>
              <w:rPr>
                <w:rFonts w:hint="eastAsia" w:ascii="华文细黑" w:hAnsi="华文细黑" w:eastAsia="华文细黑" w:cs="华文细黑"/>
                <w:color w:val="000000" w:themeColor="text1"/>
                <w:sz w:val="18"/>
                <w:szCs w:val="18"/>
                <w:lang w:eastAsia="zh-CN"/>
                <w14:textFill>
                  <w14:solidFill>
                    <w14:schemeClr w14:val="tx1"/>
                  </w14:solidFill>
                </w14:textFill>
              </w:rPr>
            </w:pPr>
            <w:r>
              <w:rPr>
                <w:rFonts w:hint="eastAsia" w:ascii="华文细黑" w:hAnsi="华文细黑" w:eastAsia="华文细黑" w:cs="华文细黑"/>
                <w:color w:val="auto"/>
                <w:position w:val="2"/>
                <w:sz w:val="18"/>
                <w:szCs w:val="18"/>
                <w:u w:val="none" w:color="FFFFFF"/>
                <w:lang w:val="en-US" w:eastAsia="zh-CN"/>
              </w:rPr>
              <w:t>每次到场维保向院</w:t>
            </w:r>
            <w:r>
              <w:rPr>
                <w:rFonts w:hint="eastAsia" w:ascii="华文细黑" w:hAnsi="华文细黑" w:eastAsia="华文细黑" w:cs="华文细黑"/>
                <w:color w:val="auto"/>
                <w:position w:val="2"/>
                <w:sz w:val="18"/>
                <w:szCs w:val="18"/>
                <w:u w:val="none" w:color="FFFFFF"/>
                <w:lang w:eastAsia="zh-CN"/>
              </w:rPr>
              <w:t>方</w:t>
            </w:r>
            <w:r>
              <w:rPr>
                <w:rFonts w:hint="eastAsia" w:ascii="华文细黑" w:hAnsi="华文细黑" w:eastAsia="华文细黑" w:cs="华文细黑"/>
                <w:color w:val="auto"/>
                <w:position w:val="2"/>
                <w:sz w:val="18"/>
                <w:szCs w:val="18"/>
                <w:u w:val="none" w:color="FFFFFF"/>
                <w:lang w:val="en-US" w:eastAsia="zh-CN"/>
              </w:rPr>
              <w:t>报备</w:t>
            </w:r>
            <w:r>
              <w:rPr>
                <w:rFonts w:hint="eastAsia" w:ascii="华文细黑" w:hAnsi="华文细黑" w:eastAsia="华文细黑" w:cs="华文细黑"/>
                <w:color w:val="auto"/>
                <w:position w:val="2"/>
                <w:sz w:val="18"/>
                <w:szCs w:val="18"/>
                <w:u w:val="none" w:color="FFFFFF"/>
                <w:lang w:eastAsia="zh-CN"/>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op w:val="single" w:color="auto" w:sz="2" w:space="0"/>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严禁</w:t>
            </w:r>
            <w:r>
              <w:rPr>
                <w:rFonts w:hint="eastAsia" w:ascii="华文细黑" w:hAnsi="华文细黑" w:eastAsia="华文细黑" w:cs="华文细黑"/>
                <w:color w:val="000000" w:themeColor="text1"/>
                <w:sz w:val="18"/>
                <w:szCs w:val="18"/>
                <w:lang w:val="en-US"/>
                <w14:textFill>
                  <w14:solidFill>
                    <w14:schemeClr w14:val="tx1"/>
                  </w14:solidFill>
                </w14:textFill>
              </w:rPr>
              <w:t>私自传播</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院方相关资料</w:t>
            </w:r>
            <w:r>
              <w:rPr>
                <w:rFonts w:hint="eastAsia" w:ascii="华文细黑" w:hAnsi="华文细黑" w:eastAsia="华文细黑" w:cs="华文细黑"/>
                <w:color w:val="000000" w:themeColor="text1"/>
                <w:sz w:val="18"/>
                <w:szCs w:val="18"/>
                <w:lang w:val="en-US"/>
                <w14:textFill>
                  <w14:solidFill>
                    <w14:schemeClr w14:val="tx1"/>
                  </w14:solidFill>
                </w14:textFill>
              </w:rPr>
              <w:t>，制作、复制、传播损害国家、单位或他人荣誉和利益的信息</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不得损坏院方</w:t>
            </w:r>
            <w:r>
              <w:rPr>
                <w:rFonts w:hint="eastAsia" w:ascii="华文细黑" w:hAnsi="华文细黑" w:eastAsia="华文细黑" w:cs="华文细黑"/>
                <w:color w:val="000000" w:themeColor="text1"/>
                <w:sz w:val="18"/>
                <w:szCs w:val="18"/>
                <w:lang w:val="en-US"/>
                <w14:textFill>
                  <w14:solidFill>
                    <w14:schemeClr w14:val="tx1"/>
                  </w14:solidFill>
                </w14:textFill>
              </w:rPr>
              <w:t>财物</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970" w:type="dxa"/>
            <w:vMerge w:val="restart"/>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eastAsia="zh-CN"/>
              </w:rPr>
              <w:t>服务</w:t>
            </w:r>
            <w:r>
              <w:rPr>
                <w:rFonts w:hint="eastAsia" w:ascii="华文细黑" w:hAnsi="华文细黑" w:eastAsia="华文细黑" w:cs="华文细黑"/>
                <w:b/>
                <w:bCs/>
                <w:sz w:val="18"/>
                <w:szCs w:val="18"/>
                <w:lang w:val="en-US"/>
              </w:rPr>
              <w:t>质量</w:t>
            </w:r>
          </w:p>
          <w:p>
            <w:pPr>
              <w:spacing w:line="300" w:lineRule="auto"/>
              <w:jc w:val="center"/>
              <w:rPr>
                <w:rFonts w:hint="eastAsia" w:ascii="华文细黑" w:hAnsi="华文细黑" w:eastAsia="华文细黑" w:cs="华文细黑"/>
                <w:b/>
                <w:bCs/>
                <w:sz w:val="18"/>
                <w:szCs w:val="18"/>
              </w:rPr>
            </w:pPr>
            <w:r>
              <w:rPr>
                <w:rFonts w:hint="eastAsia" w:ascii="华文细黑" w:hAnsi="华文细黑" w:eastAsia="华文细黑" w:cs="华文细黑"/>
                <w:b/>
                <w:bCs/>
                <w:sz w:val="18"/>
                <w:szCs w:val="18"/>
                <w:lang w:val="en-US"/>
              </w:rPr>
              <w:t>(</w:t>
            </w:r>
            <w:r>
              <w:rPr>
                <w:rFonts w:hint="eastAsia" w:ascii="华文细黑" w:hAnsi="华文细黑" w:eastAsia="华文细黑" w:cs="华文细黑"/>
                <w:b/>
                <w:bCs/>
                <w:sz w:val="18"/>
                <w:szCs w:val="18"/>
                <w:lang w:val="en-US" w:eastAsia="zh-CN"/>
              </w:rPr>
              <w:t>60</w:t>
            </w:r>
            <w:r>
              <w:rPr>
                <w:rFonts w:hint="eastAsia" w:ascii="华文细黑" w:hAnsi="华文细黑" w:eastAsia="华文细黑" w:cs="华文细黑"/>
                <w:b/>
                <w:bCs/>
                <w:sz w:val="18"/>
                <w:szCs w:val="18"/>
                <w:lang w:val="en-US"/>
              </w:rPr>
              <w:t>分)</w:t>
            </w:r>
          </w:p>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sz w:val="18"/>
                <w:szCs w:val="18"/>
                <w:lang w:val="en-US" w:eastAsia="zh-CN"/>
              </w:rPr>
              <w:t>每季对水处理设备巡检1次。</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auto"/>
                <w:sz w:val="18"/>
                <w:szCs w:val="18"/>
                <w:lang w:val="en-US" w:eastAsia="zh-CN"/>
              </w:rPr>
              <w:t>巡检过程中，发现异常及隐患应及时通知院方</w:t>
            </w:r>
            <w:r>
              <w:rPr>
                <w:rFonts w:hint="eastAsia" w:ascii="华文细黑" w:hAnsi="华文细黑" w:eastAsia="华文细黑" w:cs="华文细黑"/>
                <w:sz w:val="18"/>
                <w:szCs w:val="18"/>
                <w:lang w:val="en-US" w:eastAsia="zh-CN"/>
              </w:rPr>
              <w:t>。</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pageBreakBefore w:val="0"/>
              <w:widowControl w:val="0"/>
              <w:kinsoku/>
              <w:wordWrap/>
              <w:overflowPunct/>
              <w:topLinePunct w:val="0"/>
              <w:autoSpaceDE/>
              <w:autoSpaceDN/>
              <w:bidi w:val="0"/>
              <w:adjustRightInd/>
              <w:snapToGrid/>
              <w:spacing w:line="360" w:lineRule="exact"/>
              <w:textAlignment w:val="auto"/>
              <w:rPr>
                <w:rFonts w:hint="eastAsia"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接到故障报修，4小时内维保人员到场，故障未排除前或未能有效开展应急供水前不得离开医院。</w:t>
            </w:r>
          </w:p>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p>
        </w:tc>
        <w:tc>
          <w:tcPr>
            <w:tcW w:w="2229"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20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每次维保后及时清理垃圾，确保现场干净整洁。</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按要求填写维保单，字迹清晰可辨，并交于院方。</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60" w:type="dxa"/>
            <w:gridSpan w:val="3"/>
            <w:tcBorders>
              <w:tl2br w:val="nil"/>
              <w:tr2bl w:val="nil"/>
            </w:tcBorders>
            <w:noWrap w:val="0"/>
            <w:vAlign w:val="center"/>
          </w:tcPr>
          <w:p>
            <w:pPr>
              <w:spacing w:line="300" w:lineRule="auto"/>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14:textFill>
                  <w14:solidFill>
                    <w14:schemeClr w14:val="tx1"/>
                  </w14:solidFill>
                </w14:textFill>
              </w:rPr>
              <w:t>合计</w:t>
            </w:r>
          </w:p>
        </w:tc>
        <w:tc>
          <w:tcPr>
            <w:tcW w:w="673" w:type="dxa"/>
            <w:tcBorders>
              <w:tl2br w:val="nil"/>
              <w:tr2bl w:val="nil"/>
            </w:tcBorders>
            <w:noWrap w:val="0"/>
            <w:vAlign w:val="center"/>
          </w:tcPr>
          <w:p>
            <w:pPr>
              <w:widowControl/>
              <w:autoSpaceDE/>
              <w:autoSpaceDN/>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lang w:val="en-US"/>
                <w14:textFill>
                  <w14:solidFill>
                    <w14:schemeClr w14:val="tx1"/>
                  </w14:solidFill>
                </w14:textFill>
              </w:rPr>
              <w:t>100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bl>
    <w:p>
      <w:pPr>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default" w:ascii="宋体" w:hAnsi="宋体" w:cs="宋体"/>
          <w:color w:val="auto"/>
          <w:sz w:val="28"/>
          <w:szCs w:val="28"/>
          <w:lang w:val="en-US" w:eastAsia="zh-CN"/>
        </w:rPr>
      </w:pPr>
    </w:p>
    <w:p>
      <w:pPr>
        <w:pStyle w:val="29"/>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val="0"/>
          <w:bCs w:val="0"/>
          <w:sz w:val="24"/>
          <w:szCs w:val="24"/>
          <w:lang w:val="en-US" w:eastAsia="zh-CN"/>
        </w:rPr>
        <w:t xml:space="preserve">   </w:t>
      </w:r>
      <w:r>
        <w:rPr>
          <w:rFonts w:hint="eastAsia" w:ascii="宋体" w:hAnsi="宋体" w:cs="宋体"/>
          <w:b w:val="0"/>
          <w:bCs w:val="0"/>
          <w:sz w:val="21"/>
          <w:szCs w:val="21"/>
          <w:lang w:val="en-US" w:eastAsia="zh-CN"/>
        </w:rPr>
        <w:t>考核人：</w:t>
      </w:r>
    </w:p>
    <w:p>
      <w:pPr>
        <w:pStyle w:val="29"/>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                                          </w:t>
      </w:r>
    </w:p>
    <w:p>
      <w:pPr>
        <w:pStyle w:val="29"/>
        <w:ind w:firstLine="6090" w:firstLineChars="2900"/>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考核日期：</w:t>
      </w:r>
    </w:p>
    <w:p>
      <w:pPr>
        <w:pStyle w:val="29"/>
        <w:ind w:left="0" w:leftChars="0" w:firstLine="0" w:firstLineChars="0"/>
        <w:rPr>
          <w:rFonts w:hint="eastAsia" w:ascii="宋体" w:hAnsi="宋体" w:cs="宋体"/>
          <w:b w:val="0"/>
          <w:bCs w:val="0"/>
          <w:sz w:val="21"/>
          <w:szCs w:val="21"/>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评分细则：</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336"/>
        <w:gridCol w:w="688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7"/>
                <w:rFonts w:ascii="宋体" w:hAnsi="宋体" w:eastAsia="宋体" w:cs="宋体"/>
                <w:b w:val="0"/>
                <w:sz w:val="21"/>
                <w:szCs w:val="24"/>
              </w:rPr>
            </w:pPr>
            <w:r>
              <w:rPr>
                <w:rStyle w:val="27"/>
                <w:rFonts w:ascii="宋体" w:hAnsi="宋体" w:eastAsia="宋体" w:cs="宋体"/>
                <w:b w:val="0"/>
                <w:sz w:val="21"/>
                <w:szCs w:val="24"/>
              </w:rPr>
              <w:t>序号</w:t>
            </w:r>
          </w:p>
        </w:tc>
        <w:tc>
          <w:tcPr>
            <w:tcW w:w="699"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7"/>
                <w:rFonts w:ascii="宋体" w:hAnsi="宋体" w:eastAsia="宋体" w:cs="宋体"/>
                <w:b w:val="0"/>
                <w:sz w:val="21"/>
                <w:szCs w:val="24"/>
              </w:rPr>
            </w:pPr>
            <w:r>
              <w:rPr>
                <w:rStyle w:val="27"/>
                <w:rFonts w:ascii="宋体" w:hAnsi="宋体" w:eastAsia="宋体" w:cs="宋体"/>
                <w:b w:val="0"/>
                <w:sz w:val="21"/>
                <w:szCs w:val="24"/>
              </w:rPr>
              <w:t>评审因素</w:t>
            </w:r>
          </w:p>
        </w:tc>
        <w:tc>
          <w:tcPr>
            <w:tcW w:w="3598"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ind w:firstLine="1687" w:firstLineChars="800"/>
              <w:jc w:val="both"/>
              <w:rPr>
                <w:rStyle w:val="27"/>
                <w:rFonts w:ascii="宋体" w:hAnsi="宋体" w:eastAsia="宋体" w:cs="宋体"/>
                <w:b w:val="0"/>
                <w:sz w:val="21"/>
                <w:szCs w:val="24"/>
              </w:rPr>
            </w:pPr>
            <w:r>
              <w:rPr>
                <w:rStyle w:val="27"/>
                <w:rFonts w:ascii="宋体" w:hAnsi="宋体" w:eastAsia="宋体" w:cs="宋体"/>
                <w:b/>
                <w:bCs/>
                <w:sz w:val="21"/>
                <w:szCs w:val="24"/>
              </w:rPr>
              <w:t>评审细则</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7"/>
                <w:rFonts w:ascii="宋体" w:hAnsi="宋体" w:eastAsia="宋体" w:cs="宋体"/>
                <w:b w:val="0"/>
                <w:sz w:val="21"/>
                <w:szCs w:val="24"/>
              </w:rPr>
            </w:pPr>
            <w:r>
              <w:rPr>
                <w:rStyle w:val="27"/>
                <w:rFonts w:ascii="宋体" w:hAnsi="宋体" w:eastAsia="宋体" w:cs="宋体"/>
                <w:b w:val="0"/>
                <w:sz w:val="21"/>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7"/>
                <w:rFonts w:ascii="宋体" w:hAnsi="宋体" w:eastAsia="宋体" w:cs="宋体"/>
                <w:b w:val="0"/>
                <w:sz w:val="21"/>
                <w:szCs w:val="24"/>
              </w:rPr>
            </w:pPr>
            <w:r>
              <w:rPr>
                <w:rStyle w:val="27"/>
                <w:rFonts w:hint="eastAsia" w:ascii="宋体" w:hAnsi="宋体" w:eastAsia="宋体" w:cs="宋体"/>
                <w:b w:val="0"/>
                <w:sz w:val="21"/>
                <w:szCs w:val="24"/>
                <w:lang w:val="en-US" w:eastAsia="zh-CN"/>
              </w:rPr>
              <w:t xml:space="preserve"> 一、</w:t>
            </w:r>
            <w:r>
              <w:rPr>
                <w:rStyle w:val="27"/>
                <w:rFonts w:ascii="宋体" w:hAnsi="宋体" w:eastAsia="宋体" w:cs="宋体"/>
                <w:b/>
                <w:bCs/>
                <w:sz w:val="21"/>
                <w:szCs w:val="24"/>
              </w:rPr>
              <w:t>报价评价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7"/>
                <w:rFonts w:ascii="宋体" w:hAnsi="宋体" w:eastAsia="宋体" w:cs="宋体"/>
                <w:b w:val="0"/>
                <w:sz w:val="21"/>
                <w:szCs w:val="24"/>
              </w:rPr>
            </w:pPr>
            <w:r>
              <w:rPr>
                <w:rStyle w:val="27"/>
                <w:rFonts w:hint="eastAsia" w:ascii="宋体" w:hAnsi="宋体" w:eastAsia="宋体" w:cs="宋体"/>
                <w:b w:val="0"/>
                <w:sz w:val="21"/>
                <w:szCs w:val="24"/>
                <w:lang w:val="en-US" w:eastAsia="zh-CN"/>
              </w:rPr>
              <w:t>42</w:t>
            </w:r>
            <w:r>
              <w:rPr>
                <w:rStyle w:val="27"/>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7"/>
                <w:rFonts w:ascii="宋体" w:hAnsi="宋体" w:eastAsia="宋体" w:cs="宋体"/>
                <w:b w:val="0"/>
                <w:sz w:val="21"/>
                <w:szCs w:val="24"/>
              </w:rPr>
            </w:pPr>
            <w:r>
              <w:rPr>
                <w:rStyle w:val="27"/>
                <w:rFonts w:ascii="宋体" w:hAnsi="宋体" w:eastAsia="宋体" w:cs="宋体"/>
                <w:b w:val="0"/>
                <w:sz w:val="21"/>
                <w:szCs w:val="24"/>
              </w:rPr>
              <w:t>1.1</w:t>
            </w:r>
          </w:p>
        </w:tc>
        <w:tc>
          <w:tcPr>
            <w:tcW w:w="699"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7"/>
                <w:rFonts w:ascii="宋体" w:hAnsi="宋体" w:eastAsia="宋体" w:cs="宋体"/>
                <w:b w:val="0"/>
                <w:sz w:val="21"/>
                <w:szCs w:val="24"/>
              </w:rPr>
            </w:pPr>
            <w:r>
              <w:rPr>
                <w:rStyle w:val="27"/>
                <w:rFonts w:ascii="宋体" w:hAnsi="宋体" w:eastAsia="宋体" w:cs="宋体"/>
                <w:b w:val="0"/>
                <w:sz w:val="21"/>
                <w:szCs w:val="24"/>
              </w:rPr>
              <w:t>报价得分</w:t>
            </w:r>
          </w:p>
        </w:tc>
        <w:tc>
          <w:tcPr>
            <w:tcW w:w="3598"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7"/>
                <w:rFonts w:ascii="宋体" w:hAnsi="宋体" w:eastAsia="宋体" w:cs="宋体"/>
                <w:b w:val="0"/>
                <w:sz w:val="21"/>
                <w:szCs w:val="24"/>
              </w:rPr>
            </w:pPr>
            <w:r>
              <w:rPr>
                <w:rStyle w:val="27"/>
                <w:rFonts w:ascii="宋体" w:hAnsi="宋体" w:eastAsia="宋体" w:cs="宋体"/>
                <w:b w:val="0"/>
                <w:sz w:val="21"/>
                <w:szCs w:val="24"/>
              </w:rPr>
              <w:t>综合评分法中的价格分采用低价优先法计算，即满足</w:t>
            </w:r>
            <w:r>
              <w:rPr>
                <w:rStyle w:val="27"/>
                <w:rFonts w:hint="eastAsia" w:ascii="宋体" w:hAnsi="宋体" w:eastAsia="宋体" w:cs="宋体"/>
                <w:b w:val="0"/>
                <w:sz w:val="21"/>
                <w:szCs w:val="24"/>
                <w:lang w:val="en-US" w:eastAsia="zh-CN"/>
              </w:rPr>
              <w:t>采购</w:t>
            </w:r>
            <w:r>
              <w:rPr>
                <w:rStyle w:val="27"/>
                <w:rFonts w:ascii="宋体" w:hAnsi="宋体" w:eastAsia="宋体" w:cs="宋体"/>
                <w:b w:val="0"/>
                <w:sz w:val="21"/>
                <w:szCs w:val="24"/>
              </w:rPr>
              <w:t>文件要求且报价最低供应商的价格为</w:t>
            </w:r>
            <w:r>
              <w:rPr>
                <w:rStyle w:val="27"/>
                <w:rFonts w:hint="eastAsia" w:ascii="宋体" w:hAnsi="宋体" w:eastAsia="宋体" w:cs="宋体"/>
                <w:b w:val="0"/>
                <w:sz w:val="21"/>
                <w:szCs w:val="24"/>
                <w:lang w:val="en-US" w:eastAsia="zh-CN"/>
              </w:rPr>
              <w:t>比选</w:t>
            </w:r>
            <w:r>
              <w:rPr>
                <w:rStyle w:val="27"/>
                <w:rFonts w:ascii="宋体" w:hAnsi="宋体" w:eastAsia="宋体" w:cs="宋体"/>
                <w:b w:val="0"/>
                <w:sz w:val="21"/>
                <w:szCs w:val="24"/>
              </w:rPr>
              <w:t>基准价，其价格分为满分</w:t>
            </w:r>
            <w:r>
              <w:rPr>
                <w:rStyle w:val="27"/>
                <w:rFonts w:hint="eastAsia" w:ascii="宋体" w:hAnsi="宋体" w:eastAsia="宋体" w:cs="宋体"/>
                <w:b w:val="0"/>
                <w:sz w:val="21"/>
                <w:szCs w:val="24"/>
                <w:lang w:val="en-US" w:eastAsia="zh-CN"/>
              </w:rPr>
              <w:t>42</w:t>
            </w:r>
            <w:r>
              <w:rPr>
                <w:rStyle w:val="27"/>
                <w:rFonts w:ascii="宋体" w:hAnsi="宋体" w:eastAsia="宋体" w:cs="宋体"/>
                <w:b w:val="0"/>
                <w:sz w:val="21"/>
                <w:szCs w:val="24"/>
              </w:rPr>
              <w:t>分。其他供应商的价格分统一按照下列公式计算：报价得分= (</w:t>
            </w:r>
            <w:r>
              <w:rPr>
                <w:rStyle w:val="27"/>
                <w:rFonts w:hint="eastAsia" w:ascii="宋体" w:hAnsi="宋体" w:eastAsia="宋体" w:cs="宋体"/>
                <w:b w:val="0"/>
                <w:sz w:val="21"/>
                <w:szCs w:val="24"/>
                <w:lang w:val="en-US" w:eastAsia="zh-CN"/>
              </w:rPr>
              <w:t>比选</w:t>
            </w:r>
            <w:r>
              <w:rPr>
                <w:rStyle w:val="27"/>
                <w:rFonts w:ascii="宋体" w:hAnsi="宋体" w:eastAsia="宋体" w:cs="宋体"/>
                <w:b w:val="0"/>
                <w:sz w:val="21"/>
                <w:szCs w:val="24"/>
              </w:rPr>
              <w:t>基准价／</w:t>
            </w:r>
            <w:r>
              <w:rPr>
                <w:rStyle w:val="27"/>
                <w:rFonts w:hint="eastAsia" w:ascii="宋体" w:hAnsi="宋体" w:eastAsia="宋体" w:cs="宋体"/>
                <w:b w:val="0"/>
                <w:sz w:val="21"/>
                <w:szCs w:val="24"/>
                <w:lang w:val="en-US" w:eastAsia="zh-CN"/>
              </w:rPr>
              <w:t>供应</w:t>
            </w:r>
            <w:r>
              <w:rPr>
                <w:rStyle w:val="27"/>
                <w:rFonts w:ascii="宋体" w:hAnsi="宋体" w:eastAsia="宋体" w:cs="宋体"/>
                <w:b w:val="0"/>
                <w:sz w:val="21"/>
                <w:szCs w:val="24"/>
              </w:rPr>
              <w:t>商报价)×</w:t>
            </w:r>
            <w:r>
              <w:rPr>
                <w:rStyle w:val="27"/>
                <w:rFonts w:hint="eastAsia" w:ascii="宋体" w:hAnsi="宋体" w:eastAsia="宋体" w:cs="宋体"/>
                <w:b w:val="0"/>
                <w:sz w:val="21"/>
                <w:szCs w:val="24"/>
                <w:lang w:val="en-US" w:eastAsia="zh-CN"/>
              </w:rPr>
              <w:t>42</w:t>
            </w:r>
            <w:r>
              <w:rPr>
                <w:rStyle w:val="27"/>
                <w:rFonts w:ascii="宋体" w:hAnsi="宋体" w:eastAsia="宋体" w:cs="宋体"/>
                <w:b w:val="0"/>
                <w:sz w:val="21"/>
                <w:szCs w:val="24"/>
              </w:rPr>
              <w:t>。</w:t>
            </w:r>
          </w:p>
          <w:p>
            <w:pPr>
              <w:pStyle w:val="46"/>
              <w:jc w:val="center"/>
              <w:rPr>
                <w:rStyle w:val="27"/>
                <w:rFonts w:ascii="宋体" w:hAnsi="宋体" w:eastAsia="宋体" w:cs="宋体"/>
                <w:b w:val="0"/>
                <w:sz w:val="21"/>
                <w:szCs w:val="24"/>
              </w:rPr>
            </w:pP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7"/>
                <w:rFonts w:ascii="宋体" w:hAnsi="宋体" w:eastAsia="宋体" w:cs="宋体"/>
                <w:b w:val="0"/>
                <w:sz w:val="21"/>
                <w:szCs w:val="24"/>
              </w:rPr>
            </w:pPr>
            <w:r>
              <w:rPr>
                <w:rStyle w:val="27"/>
                <w:rFonts w:hint="eastAsia" w:ascii="宋体" w:hAnsi="宋体" w:eastAsia="宋体" w:cs="宋体"/>
                <w:b w:val="0"/>
                <w:sz w:val="21"/>
                <w:szCs w:val="24"/>
                <w:lang w:val="en-US" w:eastAsia="zh-CN"/>
              </w:rPr>
              <w:t>42</w:t>
            </w:r>
            <w:r>
              <w:rPr>
                <w:rStyle w:val="27"/>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000" w:type="pct"/>
            <w:gridSpan w:val="4"/>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Fonts w:hint="eastAsia" w:ascii="宋体" w:hAnsi="宋体" w:eastAsia="宋体" w:cs="宋体"/>
                <w:b w:val="0"/>
                <w:sz w:val="21"/>
                <w:szCs w:val="24"/>
                <w:lang w:val="en-US" w:eastAsia="zh-CN"/>
              </w:rPr>
            </w:pPr>
            <w:r>
              <w:rPr>
                <w:rStyle w:val="27"/>
                <w:rFonts w:hint="eastAsia" w:ascii="宋体" w:hAnsi="宋体" w:eastAsia="宋体" w:cs="宋体"/>
                <w:b/>
                <w:bCs/>
                <w:sz w:val="21"/>
                <w:szCs w:val="24"/>
                <w:lang w:val="en-US" w:eastAsia="zh-CN"/>
              </w:rPr>
              <w:t>二、技术参数响应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Fonts w:hint="default" w:ascii="宋体" w:hAnsi="宋体" w:eastAsia="宋体" w:cs="宋体"/>
                <w:b w:val="0"/>
                <w:sz w:val="21"/>
                <w:szCs w:val="24"/>
                <w:lang w:val="en-US" w:eastAsia="zh-CN"/>
              </w:rPr>
            </w:pPr>
            <w:r>
              <w:rPr>
                <w:rStyle w:val="27"/>
                <w:rFonts w:hint="eastAsia" w:ascii="宋体" w:hAnsi="宋体" w:eastAsia="宋体" w:cs="宋体"/>
                <w:b w:val="0"/>
                <w:sz w:val="21"/>
                <w:szCs w:val="24"/>
                <w:lang w:val="en-US" w:eastAsia="zh-CN"/>
              </w:rPr>
              <w:t>1.1</w:t>
            </w:r>
          </w:p>
        </w:tc>
        <w:tc>
          <w:tcPr>
            <w:tcW w:w="699"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Fonts w:ascii="宋体" w:hAnsi="宋体" w:eastAsia="宋体" w:cs="宋体"/>
                <w:b w:val="0"/>
                <w:sz w:val="21"/>
                <w:szCs w:val="24"/>
              </w:rPr>
            </w:pPr>
            <w:r>
              <w:rPr>
                <w:rStyle w:val="27"/>
                <w:rFonts w:hint="eastAsia" w:ascii="宋体" w:hAnsi="宋体" w:eastAsia="宋体" w:cs="宋体"/>
                <w:b w:val="0"/>
                <w:sz w:val="21"/>
                <w:szCs w:val="24"/>
                <w:lang w:val="en-US" w:eastAsia="zh-CN"/>
              </w:rPr>
              <w:t>技术参数响应</w:t>
            </w:r>
          </w:p>
        </w:tc>
        <w:tc>
          <w:tcPr>
            <w:tcW w:w="3598"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Style w:val="27"/>
                <w:rFonts w:hint="eastAsia" w:ascii="宋体" w:hAnsi="宋体" w:eastAsia="宋体" w:cs="宋体"/>
                <w:b w:val="0"/>
                <w:sz w:val="21"/>
                <w:szCs w:val="24"/>
                <w:lang w:eastAsia="zh-CN"/>
              </w:rPr>
            </w:pPr>
            <w:r>
              <w:rPr>
                <w:rStyle w:val="27"/>
                <w:rFonts w:ascii="宋体" w:hAnsi="宋体" w:eastAsia="宋体" w:cs="宋体"/>
                <w:b w:val="0"/>
                <w:sz w:val="21"/>
                <w:szCs w:val="24"/>
              </w:rPr>
              <w:t>评委根据</w:t>
            </w:r>
            <w:r>
              <w:rPr>
                <w:rStyle w:val="27"/>
                <w:rFonts w:hint="eastAsia" w:ascii="宋体" w:hAnsi="宋体" w:eastAsia="宋体" w:cs="宋体"/>
                <w:b w:val="0"/>
                <w:sz w:val="21"/>
                <w:szCs w:val="24"/>
                <w:lang w:val="en-US" w:eastAsia="zh-CN"/>
              </w:rPr>
              <w:t>比选</w:t>
            </w:r>
            <w:r>
              <w:rPr>
                <w:rStyle w:val="27"/>
                <w:rFonts w:ascii="宋体" w:hAnsi="宋体" w:eastAsia="宋体" w:cs="宋体"/>
                <w:b w:val="0"/>
                <w:sz w:val="21"/>
                <w:szCs w:val="24"/>
              </w:rPr>
              <w:t>文件中所要求的技术参数，对供应商</w:t>
            </w:r>
            <w:r>
              <w:rPr>
                <w:rStyle w:val="27"/>
                <w:rFonts w:hint="eastAsia" w:ascii="宋体" w:hAnsi="宋体" w:eastAsia="宋体" w:cs="宋体"/>
                <w:b w:val="0"/>
                <w:sz w:val="21"/>
                <w:szCs w:val="24"/>
                <w:lang w:val="en-US" w:eastAsia="zh-CN"/>
              </w:rPr>
              <w:t>的</w:t>
            </w:r>
            <w:r>
              <w:rPr>
                <w:rStyle w:val="27"/>
                <w:rFonts w:ascii="宋体" w:hAnsi="宋体" w:eastAsia="宋体" w:cs="宋体"/>
                <w:b w:val="0"/>
                <w:sz w:val="21"/>
                <w:szCs w:val="24"/>
              </w:rPr>
              <w:t>技术指标响应情况进行评审；完全满足或优于</w:t>
            </w:r>
            <w:r>
              <w:rPr>
                <w:rStyle w:val="27"/>
                <w:rFonts w:hint="eastAsia" w:ascii="宋体" w:hAnsi="宋体" w:eastAsia="宋体" w:cs="宋体"/>
                <w:b w:val="0"/>
                <w:sz w:val="21"/>
                <w:szCs w:val="24"/>
                <w:lang w:val="en-US" w:eastAsia="zh-CN"/>
              </w:rPr>
              <w:t>采购</w:t>
            </w:r>
            <w:r>
              <w:rPr>
                <w:rStyle w:val="27"/>
                <w:rFonts w:ascii="宋体" w:hAnsi="宋体" w:eastAsia="宋体" w:cs="宋体"/>
                <w:b w:val="0"/>
                <w:sz w:val="21"/>
                <w:szCs w:val="24"/>
              </w:rPr>
              <w:t>文件要求的得基本分</w:t>
            </w:r>
            <w:r>
              <w:rPr>
                <w:rStyle w:val="27"/>
                <w:rFonts w:hint="eastAsia" w:ascii="宋体" w:hAnsi="宋体" w:eastAsia="宋体" w:cs="宋体"/>
                <w:b w:val="0"/>
                <w:sz w:val="21"/>
                <w:szCs w:val="24"/>
                <w:lang w:val="en-US" w:eastAsia="zh-CN"/>
              </w:rPr>
              <w:t>18</w:t>
            </w:r>
            <w:r>
              <w:rPr>
                <w:rStyle w:val="27"/>
                <w:rFonts w:ascii="宋体" w:hAnsi="宋体" w:eastAsia="宋体" w:cs="宋体"/>
                <w:b w:val="0"/>
                <w:sz w:val="21"/>
                <w:szCs w:val="24"/>
              </w:rPr>
              <w:t>分</w:t>
            </w:r>
            <w:r>
              <w:rPr>
                <w:rStyle w:val="27"/>
                <w:rFonts w:hint="eastAsia" w:ascii="宋体" w:hAnsi="宋体" w:eastAsia="宋体" w:cs="宋体"/>
                <w:b w:val="0"/>
                <w:sz w:val="21"/>
                <w:szCs w:val="24"/>
                <w:lang w:eastAsia="zh-CN"/>
              </w:rPr>
              <w:t>，</w:t>
            </w:r>
            <w:r>
              <w:rPr>
                <w:rStyle w:val="27"/>
                <w:rFonts w:ascii="宋体" w:hAnsi="宋体" w:eastAsia="宋体" w:cs="宋体"/>
                <w:b w:val="0"/>
                <w:sz w:val="21"/>
                <w:szCs w:val="24"/>
              </w:rPr>
              <w:t>有一项负偏离扣</w:t>
            </w:r>
            <w:r>
              <w:rPr>
                <w:rStyle w:val="27"/>
                <w:rFonts w:hint="eastAsia" w:ascii="宋体" w:hAnsi="宋体" w:eastAsia="宋体" w:cs="宋体"/>
                <w:b w:val="0"/>
                <w:sz w:val="21"/>
                <w:szCs w:val="24"/>
                <w:lang w:val="en-US" w:eastAsia="zh-CN"/>
              </w:rPr>
              <w:t>2</w:t>
            </w:r>
            <w:r>
              <w:rPr>
                <w:rStyle w:val="27"/>
                <w:rFonts w:ascii="宋体" w:hAnsi="宋体" w:eastAsia="宋体" w:cs="宋体"/>
                <w:b w:val="0"/>
                <w:sz w:val="21"/>
                <w:szCs w:val="24"/>
              </w:rPr>
              <w:t>分</w:t>
            </w:r>
            <w:r>
              <w:rPr>
                <w:rStyle w:val="27"/>
                <w:rFonts w:hint="eastAsia" w:ascii="宋体" w:hAnsi="宋体" w:eastAsia="宋体" w:cs="宋体"/>
                <w:b w:val="0"/>
                <w:sz w:val="21"/>
                <w:szCs w:val="24"/>
                <w:lang w:eastAsia="zh-CN"/>
              </w:rPr>
              <w:t>。</w:t>
            </w:r>
          </w:p>
          <w:p>
            <w:pPr>
              <w:pStyle w:val="46"/>
              <w:jc w:val="center"/>
              <w:rPr>
                <w:rFonts w:hint="eastAsia" w:ascii="Times New Roman" w:hAnsi="Times New Roman" w:eastAsia="宋体" w:cs="Times New Roman"/>
                <w:kern w:val="2"/>
                <w:sz w:val="21"/>
                <w:szCs w:val="21"/>
              </w:rPr>
            </w:pP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Fonts w:hint="eastAsia" w:ascii="宋体" w:hAnsi="宋体" w:eastAsia="宋体" w:cs="宋体"/>
                <w:b w:val="0"/>
                <w:sz w:val="21"/>
                <w:szCs w:val="24"/>
                <w:lang w:val="en-US" w:eastAsia="zh-CN"/>
              </w:rPr>
            </w:pPr>
            <w:r>
              <w:rPr>
                <w:rStyle w:val="27"/>
                <w:rFonts w:hint="eastAsia" w:ascii="宋体" w:hAnsi="宋体" w:eastAsia="宋体" w:cs="宋体"/>
                <w:b w:val="0"/>
                <w:sz w:val="21"/>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7"/>
                <w:rFonts w:ascii="宋体" w:hAnsi="宋体" w:eastAsia="宋体" w:cs="宋体"/>
                <w:b w:val="0"/>
                <w:sz w:val="21"/>
                <w:szCs w:val="24"/>
              </w:rPr>
            </w:pPr>
            <w:r>
              <w:rPr>
                <w:rStyle w:val="27"/>
                <w:rFonts w:hint="eastAsia" w:ascii="宋体" w:hAnsi="宋体" w:eastAsia="宋体" w:cs="宋体"/>
                <w:b/>
                <w:bCs/>
                <w:sz w:val="21"/>
                <w:szCs w:val="24"/>
                <w:lang w:val="en-US" w:eastAsia="zh-CN"/>
              </w:rPr>
              <w:t>三、</w:t>
            </w:r>
            <w:r>
              <w:rPr>
                <w:rStyle w:val="27"/>
                <w:rFonts w:ascii="宋体" w:hAnsi="宋体" w:eastAsia="宋体" w:cs="宋体"/>
                <w:b/>
                <w:bCs/>
                <w:sz w:val="21"/>
                <w:szCs w:val="24"/>
              </w:rPr>
              <w:t>履约能力评价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7"/>
                <w:rFonts w:ascii="宋体" w:hAnsi="宋体" w:eastAsia="宋体" w:cs="宋体"/>
                <w:b w:val="0"/>
                <w:sz w:val="21"/>
                <w:szCs w:val="24"/>
              </w:rPr>
            </w:pPr>
            <w:r>
              <w:rPr>
                <w:rStyle w:val="27"/>
                <w:rFonts w:hint="eastAsia" w:ascii="宋体" w:hAnsi="宋体" w:eastAsia="宋体" w:cs="宋体"/>
                <w:b w:val="0"/>
                <w:sz w:val="21"/>
                <w:szCs w:val="24"/>
                <w:lang w:val="en-US" w:eastAsia="zh-CN"/>
              </w:rPr>
              <w:t>20</w:t>
            </w:r>
            <w:r>
              <w:rPr>
                <w:rStyle w:val="27"/>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7"/>
                <w:rFonts w:ascii="宋体" w:hAnsi="宋体" w:eastAsia="宋体" w:cs="宋体"/>
                <w:b w:val="0"/>
                <w:sz w:val="21"/>
                <w:szCs w:val="24"/>
              </w:rPr>
            </w:pPr>
            <w:r>
              <w:rPr>
                <w:rStyle w:val="27"/>
                <w:rFonts w:ascii="宋体" w:hAnsi="宋体" w:eastAsia="宋体" w:cs="宋体"/>
                <w:b w:val="0"/>
                <w:sz w:val="21"/>
                <w:szCs w:val="24"/>
              </w:rPr>
              <w:t>1.1</w:t>
            </w:r>
          </w:p>
        </w:tc>
        <w:tc>
          <w:tcPr>
            <w:tcW w:w="699"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7"/>
                <w:rFonts w:ascii="宋体" w:hAnsi="宋体" w:eastAsia="宋体" w:cs="宋体"/>
                <w:b w:val="0"/>
                <w:sz w:val="21"/>
                <w:szCs w:val="24"/>
              </w:rPr>
            </w:pPr>
            <w:r>
              <w:rPr>
                <w:rStyle w:val="27"/>
                <w:rFonts w:ascii="宋体" w:hAnsi="宋体" w:eastAsia="宋体" w:cs="宋体"/>
                <w:b w:val="0"/>
                <w:sz w:val="21"/>
                <w:szCs w:val="24"/>
              </w:rPr>
              <w:t>能力评价</w:t>
            </w:r>
          </w:p>
        </w:tc>
        <w:tc>
          <w:tcPr>
            <w:tcW w:w="3598"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both"/>
              <w:rPr>
                <w:rStyle w:val="27"/>
                <w:rFonts w:hint="default" w:ascii="宋体" w:hAnsi="宋体" w:eastAsia="宋体" w:cs="宋体"/>
                <w:b w:val="0"/>
                <w:sz w:val="21"/>
                <w:szCs w:val="24"/>
                <w:lang w:val="en-US"/>
              </w:rPr>
            </w:pPr>
            <w:r>
              <w:rPr>
                <w:rStyle w:val="27"/>
                <w:rFonts w:ascii="宋体" w:hAnsi="宋体" w:eastAsia="宋体" w:cs="宋体"/>
                <w:b w:val="0"/>
                <w:sz w:val="21"/>
                <w:szCs w:val="24"/>
              </w:rPr>
              <w:t>1.</w:t>
            </w:r>
            <w:r>
              <w:rPr>
                <w:rStyle w:val="27"/>
                <w:rFonts w:hint="eastAsia" w:ascii="宋体" w:hAnsi="宋体" w:eastAsia="宋体" w:cs="宋体"/>
                <w:b w:val="0"/>
                <w:sz w:val="21"/>
                <w:szCs w:val="24"/>
                <w:lang w:val="en-US" w:eastAsia="zh-CN"/>
              </w:rPr>
              <w:t>自行提供相关履约能力证明材料，经评审有效的，得10分；履约能力证明材料展示不充分的，得5分；未提供不得分。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7"/>
                <w:rFonts w:ascii="宋体" w:hAnsi="宋体" w:eastAsia="宋体" w:cs="宋体"/>
                <w:b w:val="0"/>
                <w:sz w:val="21"/>
                <w:szCs w:val="24"/>
              </w:rPr>
            </w:pPr>
            <w:r>
              <w:rPr>
                <w:rStyle w:val="27"/>
                <w:rFonts w:hint="eastAsia" w:ascii="宋体" w:hAnsi="宋体" w:eastAsia="宋体" w:cs="宋体"/>
                <w:b w:val="0"/>
                <w:sz w:val="21"/>
                <w:szCs w:val="24"/>
                <w:lang w:val="en-US" w:eastAsia="zh-CN"/>
              </w:rPr>
              <w:t>10</w:t>
            </w:r>
            <w:r>
              <w:rPr>
                <w:rStyle w:val="27"/>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7"/>
                <w:rFonts w:ascii="宋体" w:hAnsi="宋体" w:eastAsia="宋体" w:cs="宋体"/>
                <w:b w:val="0"/>
                <w:sz w:val="21"/>
                <w:szCs w:val="24"/>
              </w:rPr>
            </w:pPr>
            <w:r>
              <w:rPr>
                <w:rStyle w:val="27"/>
                <w:rFonts w:ascii="宋体" w:hAnsi="宋体" w:eastAsia="宋体" w:cs="宋体"/>
                <w:b w:val="0"/>
                <w:sz w:val="21"/>
                <w:szCs w:val="24"/>
              </w:rPr>
              <w:t>1.2</w:t>
            </w:r>
          </w:p>
        </w:tc>
        <w:tc>
          <w:tcPr>
            <w:tcW w:w="699"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7"/>
                <w:rFonts w:ascii="宋体" w:hAnsi="宋体" w:eastAsia="宋体" w:cs="宋体"/>
                <w:b w:val="0"/>
                <w:sz w:val="21"/>
                <w:szCs w:val="24"/>
              </w:rPr>
            </w:pPr>
            <w:r>
              <w:rPr>
                <w:rStyle w:val="27"/>
                <w:rFonts w:ascii="宋体" w:hAnsi="宋体" w:eastAsia="宋体" w:cs="宋体"/>
                <w:b w:val="0"/>
                <w:sz w:val="21"/>
                <w:szCs w:val="24"/>
              </w:rPr>
              <w:t>经验评价</w:t>
            </w:r>
          </w:p>
        </w:tc>
        <w:tc>
          <w:tcPr>
            <w:tcW w:w="3598"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7"/>
                <w:rFonts w:ascii="宋体" w:hAnsi="宋体" w:eastAsia="宋体" w:cs="宋体"/>
                <w:b w:val="0"/>
                <w:sz w:val="21"/>
                <w:szCs w:val="24"/>
              </w:rPr>
            </w:pPr>
            <w:r>
              <w:rPr>
                <w:rStyle w:val="27"/>
                <w:rFonts w:ascii="宋体" w:hAnsi="宋体" w:eastAsia="宋体" w:cs="宋体"/>
                <w:b w:val="0"/>
                <w:sz w:val="21"/>
                <w:szCs w:val="24"/>
              </w:rPr>
              <w:t>提供</w:t>
            </w:r>
            <w:r>
              <w:rPr>
                <w:rStyle w:val="27"/>
                <w:rFonts w:hint="eastAsia" w:ascii="宋体" w:hAnsi="宋体" w:eastAsia="宋体" w:cs="宋体"/>
                <w:b w:val="0"/>
                <w:sz w:val="21"/>
                <w:szCs w:val="24"/>
                <w:lang w:val="en-US" w:eastAsia="zh-CN"/>
              </w:rPr>
              <w:t>与</w:t>
            </w:r>
            <w:r>
              <w:rPr>
                <w:rStyle w:val="27"/>
                <w:rFonts w:ascii="宋体" w:hAnsi="宋体" w:eastAsia="宋体" w:cs="宋体"/>
                <w:b w:val="0"/>
                <w:sz w:val="21"/>
                <w:szCs w:val="24"/>
              </w:rPr>
              <w:t>所投产品</w:t>
            </w:r>
            <w:r>
              <w:rPr>
                <w:rStyle w:val="27"/>
                <w:rFonts w:hint="eastAsia" w:ascii="宋体" w:hAnsi="宋体" w:eastAsia="宋体" w:cs="宋体"/>
                <w:b w:val="0"/>
                <w:sz w:val="21"/>
                <w:szCs w:val="24"/>
                <w:lang w:val="en-US" w:eastAsia="zh-CN"/>
              </w:rPr>
              <w:t>相似服务</w:t>
            </w:r>
            <w:r>
              <w:rPr>
                <w:rStyle w:val="27"/>
                <w:rFonts w:ascii="宋体" w:hAnsi="宋体" w:eastAsia="宋体" w:cs="宋体"/>
                <w:b w:val="0"/>
                <w:sz w:val="21"/>
                <w:szCs w:val="24"/>
              </w:rPr>
              <w:t>成功案例</w:t>
            </w:r>
            <w:r>
              <w:rPr>
                <w:rStyle w:val="27"/>
                <w:rFonts w:hint="eastAsia" w:ascii="宋体" w:hAnsi="宋体" w:eastAsia="宋体" w:cs="宋体"/>
                <w:b w:val="0"/>
                <w:sz w:val="21"/>
                <w:szCs w:val="24"/>
                <w:lang w:val="en-US" w:eastAsia="zh-CN"/>
              </w:rPr>
              <w:t>的</w:t>
            </w:r>
            <w:r>
              <w:rPr>
                <w:rStyle w:val="27"/>
                <w:rFonts w:ascii="宋体" w:hAnsi="宋体" w:eastAsia="宋体" w:cs="宋体"/>
                <w:b w:val="0"/>
                <w:sz w:val="21"/>
                <w:szCs w:val="24"/>
              </w:rPr>
              <w:t>，每提供一</w:t>
            </w:r>
            <w:r>
              <w:rPr>
                <w:rStyle w:val="27"/>
                <w:rFonts w:hint="eastAsia" w:ascii="宋体" w:hAnsi="宋体" w:eastAsia="宋体" w:cs="宋体"/>
                <w:b w:val="0"/>
                <w:sz w:val="21"/>
                <w:szCs w:val="24"/>
                <w:lang w:val="en-US" w:eastAsia="zh-CN"/>
              </w:rPr>
              <w:t>例</w:t>
            </w:r>
            <w:r>
              <w:rPr>
                <w:rStyle w:val="27"/>
                <w:rFonts w:ascii="宋体" w:hAnsi="宋体" w:eastAsia="宋体" w:cs="宋体"/>
                <w:b w:val="0"/>
                <w:sz w:val="21"/>
                <w:szCs w:val="24"/>
              </w:rPr>
              <w:t>得</w:t>
            </w:r>
            <w:r>
              <w:rPr>
                <w:rStyle w:val="27"/>
                <w:rFonts w:hint="eastAsia" w:ascii="宋体" w:hAnsi="宋体" w:eastAsia="宋体" w:cs="宋体"/>
                <w:b w:val="0"/>
                <w:sz w:val="21"/>
                <w:szCs w:val="24"/>
                <w:lang w:val="en-US" w:eastAsia="zh-CN"/>
              </w:rPr>
              <w:t>5</w:t>
            </w:r>
            <w:r>
              <w:rPr>
                <w:rStyle w:val="27"/>
                <w:rFonts w:ascii="宋体" w:hAnsi="宋体" w:eastAsia="宋体" w:cs="宋体"/>
                <w:b w:val="0"/>
                <w:sz w:val="21"/>
                <w:szCs w:val="24"/>
              </w:rPr>
              <w:t>分，最高得</w:t>
            </w:r>
            <w:r>
              <w:rPr>
                <w:rStyle w:val="27"/>
                <w:rFonts w:hint="eastAsia" w:ascii="宋体" w:hAnsi="宋体" w:eastAsia="宋体" w:cs="宋体"/>
                <w:b w:val="0"/>
                <w:sz w:val="21"/>
                <w:szCs w:val="24"/>
                <w:lang w:val="en-US" w:eastAsia="zh-CN"/>
              </w:rPr>
              <w:t>10</w:t>
            </w:r>
            <w:r>
              <w:rPr>
                <w:rStyle w:val="27"/>
                <w:rFonts w:ascii="宋体" w:hAnsi="宋体" w:eastAsia="宋体" w:cs="宋体"/>
                <w:b w:val="0"/>
                <w:sz w:val="21"/>
                <w:szCs w:val="24"/>
              </w:rPr>
              <w:t>分；</w:t>
            </w:r>
            <w:r>
              <w:rPr>
                <w:rStyle w:val="27"/>
                <w:rFonts w:ascii="宋体" w:hAnsi="宋体" w:eastAsia="宋体" w:cs="宋体"/>
                <w:b/>
                <w:bCs/>
                <w:sz w:val="21"/>
                <w:szCs w:val="24"/>
              </w:rPr>
              <w:t>注：须提供合同原件扫描件，否则不得分。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7"/>
                <w:rFonts w:ascii="宋体" w:hAnsi="宋体" w:eastAsia="宋体" w:cs="宋体"/>
                <w:b w:val="0"/>
                <w:sz w:val="21"/>
                <w:szCs w:val="24"/>
              </w:rPr>
            </w:pPr>
            <w:r>
              <w:rPr>
                <w:rStyle w:val="27"/>
                <w:rFonts w:hint="eastAsia" w:ascii="宋体" w:hAnsi="宋体" w:eastAsia="宋体" w:cs="宋体"/>
                <w:b w:val="0"/>
                <w:sz w:val="21"/>
                <w:szCs w:val="24"/>
                <w:lang w:val="en-US" w:eastAsia="zh-CN"/>
              </w:rPr>
              <w:t>10</w:t>
            </w:r>
            <w:r>
              <w:rPr>
                <w:rStyle w:val="27"/>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Fonts w:ascii="宋体" w:hAnsi="宋体" w:eastAsia="宋体" w:cs="宋体"/>
                <w:b w:val="0"/>
                <w:sz w:val="21"/>
                <w:szCs w:val="24"/>
              </w:rPr>
            </w:pPr>
            <w:r>
              <w:rPr>
                <w:rStyle w:val="27"/>
                <w:rFonts w:hint="eastAsia" w:ascii="宋体" w:hAnsi="宋体" w:eastAsia="宋体" w:cs="宋体"/>
                <w:b/>
                <w:bCs/>
                <w:sz w:val="21"/>
                <w:szCs w:val="24"/>
                <w:lang w:val="en-US" w:eastAsia="zh-CN"/>
              </w:rPr>
              <w:t xml:space="preserve">  四、</w:t>
            </w:r>
            <w:r>
              <w:rPr>
                <w:rStyle w:val="27"/>
                <w:rFonts w:ascii="宋体" w:hAnsi="宋体" w:eastAsia="宋体" w:cs="宋体"/>
                <w:b/>
                <w:bCs/>
                <w:sz w:val="21"/>
                <w:szCs w:val="24"/>
              </w:rPr>
              <w:t>技术或者服务水平评价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Fonts w:hint="eastAsia" w:ascii="宋体" w:hAnsi="宋体" w:eastAsia="宋体" w:cs="宋体"/>
                <w:b w:val="0"/>
                <w:sz w:val="21"/>
                <w:szCs w:val="24"/>
                <w:lang w:val="en-US" w:eastAsia="zh-CN"/>
              </w:rPr>
            </w:pPr>
            <w:r>
              <w:rPr>
                <w:rStyle w:val="27"/>
                <w:rFonts w:hint="eastAsia" w:ascii="宋体" w:hAnsi="宋体" w:eastAsia="宋体" w:cs="宋体"/>
                <w:b w:val="0"/>
                <w:sz w:val="21"/>
                <w:szCs w:val="24"/>
                <w:lang w:val="en-US" w:eastAsia="zh-CN"/>
              </w:rPr>
              <w:t>20</w:t>
            </w:r>
            <w:r>
              <w:rPr>
                <w:rStyle w:val="27"/>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1"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pPr>
              <w:pStyle w:val="48"/>
              <w:jc w:val="center"/>
              <w:rPr>
                <w:rFonts w:ascii="宋体" w:hAnsi="宋体" w:eastAsia="宋体" w:cs="宋体"/>
                <w:b w:val="0"/>
                <w:sz w:val="21"/>
                <w:szCs w:val="24"/>
              </w:rPr>
            </w:pPr>
            <w:r>
              <w:rPr>
                <w:rStyle w:val="27"/>
                <w:rFonts w:ascii="宋体" w:hAnsi="宋体" w:eastAsia="宋体" w:cs="宋体"/>
                <w:b w:val="0"/>
                <w:sz w:val="21"/>
                <w:szCs w:val="24"/>
              </w:rPr>
              <w:t>1.1</w:t>
            </w:r>
          </w:p>
          <w:p>
            <w:pPr>
              <w:pStyle w:val="47"/>
              <w:jc w:val="center"/>
              <w:rPr>
                <w:rStyle w:val="27"/>
                <w:rFonts w:ascii="宋体" w:hAnsi="宋体" w:eastAsia="宋体" w:cs="宋体"/>
                <w:b w:val="0"/>
                <w:sz w:val="21"/>
                <w:szCs w:val="24"/>
              </w:rPr>
            </w:pPr>
          </w:p>
        </w:tc>
        <w:tc>
          <w:tcPr>
            <w:tcW w:w="699"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pPr>
              <w:pStyle w:val="48"/>
              <w:jc w:val="center"/>
              <w:rPr>
                <w:rFonts w:hint="eastAsia" w:ascii="宋体" w:hAnsi="宋体" w:eastAsia="宋体" w:cs="宋体"/>
                <w:b w:val="0"/>
                <w:sz w:val="21"/>
                <w:szCs w:val="24"/>
                <w:lang w:val="en-US" w:eastAsia="zh-CN"/>
              </w:rPr>
            </w:pPr>
            <w:r>
              <w:rPr>
                <w:rStyle w:val="27"/>
                <w:rFonts w:ascii="宋体" w:hAnsi="宋体" w:eastAsia="宋体" w:cs="宋体"/>
                <w:b w:val="0"/>
                <w:sz w:val="21"/>
                <w:szCs w:val="24"/>
              </w:rPr>
              <w:t>项目实施方案</w:t>
            </w:r>
            <w:r>
              <w:rPr>
                <w:rStyle w:val="27"/>
                <w:rFonts w:hint="eastAsia" w:ascii="宋体" w:hAnsi="宋体" w:eastAsia="宋体" w:cs="宋体"/>
                <w:b w:val="0"/>
                <w:sz w:val="21"/>
                <w:szCs w:val="24"/>
                <w:lang w:val="en-US" w:eastAsia="zh-CN"/>
              </w:rPr>
              <w:t>评价</w:t>
            </w:r>
          </w:p>
          <w:p>
            <w:pPr>
              <w:pStyle w:val="47"/>
              <w:jc w:val="center"/>
              <w:rPr>
                <w:rStyle w:val="27"/>
                <w:rFonts w:ascii="宋体" w:hAnsi="宋体" w:eastAsia="宋体" w:cs="宋体"/>
                <w:b w:val="0"/>
                <w:sz w:val="21"/>
                <w:szCs w:val="24"/>
              </w:rPr>
            </w:pPr>
          </w:p>
        </w:tc>
        <w:tc>
          <w:tcPr>
            <w:tcW w:w="3598"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left"/>
              <w:rPr>
                <w:rFonts w:hint="default" w:ascii="宋体" w:hAnsi="宋体" w:eastAsia="宋体" w:cs="宋体"/>
                <w:b w:val="0"/>
                <w:sz w:val="21"/>
                <w:szCs w:val="24"/>
                <w:lang w:val="en-US" w:eastAsia="zh-CN"/>
              </w:rPr>
            </w:pPr>
            <w:r>
              <w:rPr>
                <w:rFonts w:hint="eastAsia" w:ascii="宋体" w:hAnsi="宋体" w:eastAsia="宋体" w:cs="宋体"/>
                <w:color w:val="auto"/>
                <w:sz w:val="21"/>
                <w:szCs w:val="21"/>
                <w:lang w:val="en-US" w:eastAsia="zh-CN"/>
              </w:rPr>
              <w:t>根据现状，向院方提供应急供水方案，</w:t>
            </w:r>
            <w:r>
              <w:rPr>
                <w:rStyle w:val="27"/>
                <w:rFonts w:hint="eastAsia" w:ascii="宋体" w:hAnsi="宋体" w:eastAsia="宋体" w:cs="宋体"/>
                <w:b w:val="0"/>
                <w:sz w:val="21"/>
                <w:szCs w:val="21"/>
                <w:lang w:val="en-US" w:eastAsia="zh-CN"/>
              </w:rPr>
              <w:t>方案描述准确，切实可行的，</w:t>
            </w:r>
            <w:r>
              <w:rPr>
                <w:rStyle w:val="27"/>
                <w:rFonts w:hint="eastAsia" w:ascii="宋体" w:hAnsi="宋体" w:eastAsia="宋体" w:cs="宋体"/>
                <w:b w:val="0"/>
                <w:sz w:val="21"/>
                <w:szCs w:val="24"/>
                <w:lang w:val="en-US" w:eastAsia="zh-CN"/>
              </w:rPr>
              <w:t>得10分；</w:t>
            </w:r>
            <w:r>
              <w:rPr>
                <w:rStyle w:val="27"/>
                <w:rFonts w:ascii="宋体" w:hAnsi="宋体" w:eastAsia="宋体" w:cs="宋体"/>
                <w:b w:val="0"/>
                <w:sz w:val="21"/>
                <w:szCs w:val="24"/>
              </w:rPr>
              <w:t>有缺项</w:t>
            </w:r>
            <w:r>
              <w:rPr>
                <w:rStyle w:val="27"/>
                <w:rFonts w:hint="eastAsia" w:ascii="宋体" w:hAnsi="宋体" w:eastAsia="宋体" w:cs="宋体"/>
                <w:b w:val="0"/>
                <w:sz w:val="21"/>
                <w:szCs w:val="24"/>
                <w:lang w:eastAsia="zh-CN"/>
              </w:rPr>
              <w:t>、</w:t>
            </w:r>
            <w:r>
              <w:rPr>
                <w:rStyle w:val="27"/>
                <w:rFonts w:hint="eastAsia" w:ascii="宋体" w:hAnsi="宋体" w:eastAsia="宋体" w:cs="宋体"/>
                <w:b w:val="0"/>
                <w:sz w:val="21"/>
                <w:szCs w:val="24"/>
                <w:lang w:val="en-US" w:eastAsia="zh-CN"/>
              </w:rPr>
              <w:t>不完整或方案不可行的，得5分；未提供不得分。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Fonts w:hint="eastAsia" w:ascii="宋体" w:hAnsi="宋体" w:eastAsia="宋体" w:cs="宋体"/>
                <w:b w:val="0"/>
                <w:sz w:val="21"/>
                <w:szCs w:val="24"/>
                <w:lang w:val="en-US" w:eastAsia="zh-CN"/>
              </w:rPr>
            </w:pPr>
            <w:r>
              <w:rPr>
                <w:rStyle w:val="27"/>
                <w:rFonts w:hint="eastAsia" w:ascii="宋体" w:hAnsi="宋体" w:eastAsia="宋体" w:cs="宋体"/>
                <w:b w:val="0"/>
                <w:sz w:val="21"/>
                <w:szCs w:val="24"/>
                <w:lang w:val="en-US" w:eastAsia="zh-CN"/>
              </w:rPr>
              <w:t>10</w:t>
            </w:r>
            <w:r>
              <w:rPr>
                <w:rStyle w:val="27"/>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1"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7"/>
                <w:rFonts w:ascii="宋体" w:hAnsi="宋体" w:eastAsia="宋体" w:cs="宋体"/>
                <w:b w:val="0"/>
                <w:sz w:val="21"/>
                <w:szCs w:val="24"/>
              </w:rPr>
            </w:pPr>
          </w:p>
        </w:tc>
        <w:tc>
          <w:tcPr>
            <w:tcW w:w="699"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7"/>
                <w:rFonts w:ascii="宋体" w:hAnsi="宋体" w:eastAsia="宋体" w:cs="宋体"/>
                <w:b w:val="0"/>
                <w:sz w:val="21"/>
                <w:szCs w:val="24"/>
              </w:rPr>
            </w:pPr>
          </w:p>
        </w:tc>
        <w:tc>
          <w:tcPr>
            <w:tcW w:w="3598"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left"/>
              <w:rPr>
                <w:rFonts w:hint="default" w:ascii="宋体" w:hAnsi="宋体" w:eastAsia="宋体" w:cs="宋体"/>
                <w:b w:val="0"/>
                <w:sz w:val="21"/>
                <w:szCs w:val="24"/>
                <w:lang w:val="en-US" w:eastAsia="zh-CN"/>
              </w:rPr>
            </w:pPr>
            <w:r>
              <w:rPr>
                <w:rFonts w:hint="eastAsia" w:ascii="宋体" w:hAnsi="宋体" w:eastAsia="宋体" w:cs="宋体"/>
                <w:color w:val="auto"/>
                <w:sz w:val="21"/>
                <w:szCs w:val="21"/>
                <w:lang w:val="en-US" w:eastAsia="zh-CN"/>
              </w:rPr>
              <w:t>向院方提供的易损件清单需详细说明“易损”的理由</w:t>
            </w:r>
            <w:r>
              <w:rPr>
                <w:rStyle w:val="27"/>
                <w:rFonts w:hint="eastAsia" w:ascii="宋体" w:hAnsi="宋体" w:eastAsia="宋体" w:cs="宋体"/>
                <w:b w:val="0"/>
                <w:sz w:val="21"/>
                <w:szCs w:val="24"/>
                <w:lang w:val="en-US" w:eastAsia="zh-CN"/>
              </w:rPr>
              <w:t>，</w:t>
            </w:r>
            <w:r>
              <w:rPr>
                <w:rStyle w:val="27"/>
                <w:rFonts w:ascii="宋体" w:hAnsi="宋体" w:eastAsia="宋体" w:cs="宋体"/>
                <w:b w:val="0"/>
                <w:sz w:val="21"/>
                <w:szCs w:val="24"/>
              </w:rPr>
              <w:t>内容</w:t>
            </w:r>
            <w:r>
              <w:rPr>
                <w:rStyle w:val="27"/>
                <w:rFonts w:hint="eastAsia" w:ascii="宋体" w:hAnsi="宋体" w:eastAsia="宋体" w:cs="宋体"/>
                <w:b w:val="0"/>
                <w:sz w:val="21"/>
                <w:szCs w:val="24"/>
                <w:lang w:val="en-US" w:eastAsia="zh-CN"/>
              </w:rPr>
              <w:t>真实、</w:t>
            </w:r>
            <w:r>
              <w:rPr>
                <w:rStyle w:val="27"/>
                <w:rFonts w:ascii="宋体" w:hAnsi="宋体" w:eastAsia="宋体" w:cs="宋体"/>
                <w:b w:val="0"/>
                <w:sz w:val="21"/>
                <w:szCs w:val="24"/>
              </w:rPr>
              <w:t>完整</w:t>
            </w:r>
            <w:r>
              <w:rPr>
                <w:rStyle w:val="27"/>
                <w:rFonts w:hint="eastAsia" w:ascii="宋体" w:hAnsi="宋体" w:eastAsia="宋体" w:cs="宋体"/>
                <w:b w:val="0"/>
                <w:sz w:val="21"/>
                <w:szCs w:val="24"/>
                <w:lang w:val="en-US" w:eastAsia="zh-CN"/>
              </w:rPr>
              <w:t>的，得10分；</w:t>
            </w:r>
            <w:r>
              <w:rPr>
                <w:rStyle w:val="27"/>
                <w:rFonts w:ascii="宋体" w:hAnsi="宋体" w:eastAsia="宋体" w:cs="宋体"/>
                <w:b w:val="0"/>
                <w:sz w:val="21"/>
                <w:szCs w:val="24"/>
              </w:rPr>
              <w:t>有缺项</w:t>
            </w:r>
            <w:r>
              <w:rPr>
                <w:rStyle w:val="27"/>
                <w:rFonts w:hint="eastAsia" w:ascii="宋体" w:hAnsi="宋体" w:eastAsia="宋体" w:cs="宋体"/>
                <w:b w:val="0"/>
                <w:sz w:val="21"/>
                <w:szCs w:val="24"/>
                <w:lang w:val="en-US" w:eastAsia="zh-CN"/>
              </w:rPr>
              <w:t>或方案不完整的，得5分；未提供不得分。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Fonts w:hint="eastAsia" w:ascii="宋体" w:hAnsi="宋体" w:eastAsia="宋体" w:cs="宋体"/>
                <w:b w:val="0"/>
                <w:sz w:val="21"/>
                <w:szCs w:val="24"/>
                <w:lang w:val="en-US" w:eastAsia="zh-CN"/>
              </w:rPr>
            </w:pPr>
            <w:r>
              <w:rPr>
                <w:rStyle w:val="27"/>
                <w:rFonts w:hint="eastAsia" w:ascii="宋体" w:hAnsi="宋体" w:eastAsia="宋体" w:cs="宋体"/>
                <w:b w:val="0"/>
                <w:sz w:val="21"/>
                <w:szCs w:val="24"/>
                <w:lang w:val="en-US" w:eastAsia="zh-CN"/>
              </w:rPr>
              <w:t>10</w:t>
            </w:r>
            <w:r>
              <w:rPr>
                <w:rStyle w:val="27"/>
                <w:rFonts w:ascii="宋体" w:hAnsi="宋体" w:eastAsia="宋体" w:cs="宋体"/>
                <w:b w:val="0"/>
                <w:sz w:val="21"/>
                <w:szCs w:val="24"/>
              </w:rPr>
              <w:t>.0</w:t>
            </w:r>
          </w:p>
        </w:tc>
      </w:tr>
    </w:tbl>
    <w:p>
      <w:pPr>
        <w:rPr>
          <w:rFonts w:hint="eastAsia"/>
          <w:highlight w:val="red"/>
        </w:rPr>
      </w:pPr>
    </w:p>
    <w:p>
      <w:pPr>
        <w:jc w:val="center"/>
        <w:rPr>
          <w:rFonts w:hint="eastAsia"/>
          <w:sz w:val="48"/>
          <w:szCs w:val="48"/>
          <w:lang w:eastAsia="zh-CN"/>
        </w:rPr>
      </w:pPr>
    </w:p>
    <w:p>
      <w:pPr>
        <w:jc w:val="center"/>
        <w:rPr>
          <w:rFonts w:hint="eastAsia"/>
          <w:sz w:val="48"/>
          <w:szCs w:val="48"/>
          <w:lang w:eastAsia="zh-CN"/>
        </w:rPr>
      </w:pPr>
    </w:p>
    <w:p>
      <w:pPr>
        <w:jc w:val="center"/>
        <w:rPr>
          <w:rFonts w:hint="eastAsia"/>
          <w:sz w:val="48"/>
          <w:szCs w:val="48"/>
          <w:lang w:eastAsia="zh-CN"/>
        </w:rPr>
      </w:pPr>
    </w:p>
    <w:p>
      <w:pPr>
        <w:pStyle w:val="4"/>
        <w:numPr>
          <w:ilvl w:val="1"/>
          <w:numId w:val="0"/>
        </w:numPr>
        <w:bidi w:val="0"/>
        <w:ind w:left="420" w:leftChars="0"/>
        <w:jc w:val="center"/>
        <w:rPr>
          <w:rFonts w:hint="eastAsia"/>
        </w:rPr>
      </w:pPr>
      <w:bookmarkStart w:id="17" w:name="_Toc5584"/>
      <w:r>
        <w:rPr>
          <w:rFonts w:hint="eastAsia"/>
        </w:rPr>
        <w:t>维保合同</w:t>
      </w:r>
    </w:p>
    <w:p>
      <w:pPr>
        <w:bidi w:val="0"/>
        <w:rPr>
          <w:rFonts w:hint="eastAsia"/>
        </w:rPr>
      </w:pPr>
      <w:r>
        <w:rPr>
          <w:rFonts w:hint="eastAsia"/>
        </w:rPr>
        <w:t xml:space="preserve">甲方：  丹阳市人民医院                                             </w:t>
      </w:r>
    </w:p>
    <w:p>
      <w:pPr>
        <w:bidi w:val="0"/>
        <w:rPr>
          <w:rFonts w:hint="eastAsia"/>
        </w:rPr>
      </w:pPr>
      <w:r>
        <w:rPr>
          <w:rFonts w:hint="eastAsia"/>
        </w:rPr>
        <w:t xml:space="preserve">乙方：                                     </w:t>
      </w:r>
    </w:p>
    <w:p>
      <w:pPr>
        <w:ind w:firstLine="480" w:firstLineChars="200"/>
        <w:rPr>
          <w:rFonts w:hint="eastAsia"/>
        </w:rPr>
      </w:pPr>
      <w:r>
        <w:rPr>
          <w:rFonts w:hint="eastAsia"/>
        </w:rPr>
        <w:t>为明确双方的权利与义务，根据《中华人民共和国民法典》及</w:t>
      </w:r>
      <w:r>
        <w:rPr>
          <w:rFonts w:hint="eastAsia"/>
          <w:lang w:val="en-US" w:eastAsia="zh-CN"/>
        </w:rPr>
        <w:t xml:space="preserve"> </w:t>
      </w:r>
      <w:r>
        <w:rPr>
          <w:rFonts w:hint="eastAsia"/>
          <w:u w:val="single"/>
          <w:lang w:val="en-US" w:eastAsia="zh-CN"/>
        </w:rPr>
        <w:t xml:space="preserve">  丹阳市人民医院锅炉房水处理维保</w:t>
      </w:r>
      <w:r>
        <w:rPr>
          <w:rFonts w:hint="eastAsia"/>
          <w:lang w:val="en-US" w:eastAsia="zh-CN"/>
        </w:rPr>
        <w:t>采购项目（招标编</w:t>
      </w:r>
      <w:r>
        <w:rPr>
          <w:rFonts w:hint="eastAsia" w:eastAsia="宋体"/>
          <w:u w:val="none"/>
          <w:lang w:val="en-US" w:eastAsia="zh-CN"/>
        </w:rPr>
        <w:t>号</w:t>
      </w:r>
      <w:r>
        <w:rPr>
          <w:rFonts w:hint="eastAsia" w:eastAsia="宋体"/>
          <w:u w:val="single"/>
          <w:lang w:val="en-US" w:eastAsia="zh-CN"/>
        </w:rPr>
        <w:t xml:space="preserve"> DRY-CG-20240</w:t>
      </w:r>
      <w:r>
        <w:rPr>
          <w:rFonts w:hint="eastAsia"/>
          <w:u w:val="single"/>
          <w:lang w:val="en-US" w:eastAsia="zh-CN"/>
        </w:rPr>
        <w:t>26</w:t>
      </w:r>
      <w:r>
        <w:rPr>
          <w:rFonts w:hint="eastAsia" w:eastAsia="宋体"/>
          <w:u w:val="single"/>
          <w:lang w:val="en-US" w:eastAsia="zh-CN"/>
        </w:rPr>
        <w:t xml:space="preserve"> </w:t>
      </w:r>
      <w:r>
        <w:rPr>
          <w:rFonts w:hint="eastAsia"/>
          <w:lang w:val="en-US" w:eastAsia="zh-CN"/>
        </w:rPr>
        <w:t>）采购结果，在</w:t>
      </w:r>
      <w:r>
        <w:rPr>
          <w:rFonts w:hint="eastAsia"/>
        </w:rPr>
        <w:t>甲、乙双方在平等、自愿、协商一致的基础上达成如下协议，共同遵守。</w:t>
      </w:r>
    </w:p>
    <w:p>
      <w:pPr>
        <w:numPr>
          <w:ilvl w:val="0"/>
          <w:numId w:val="4"/>
        </w:numPr>
        <w:bidi w:val="0"/>
        <w:ind w:left="425" w:leftChars="0" w:hanging="425" w:firstLineChars="0"/>
        <w:rPr>
          <w:rFonts w:hint="eastAsia"/>
          <w:color w:val="auto"/>
        </w:rPr>
      </w:pPr>
      <w:r>
        <w:rPr>
          <w:rFonts w:hint="eastAsia"/>
          <w:color w:val="auto"/>
        </w:rPr>
        <w:t>维保</w:t>
      </w:r>
      <w:r>
        <w:rPr>
          <w:rFonts w:hint="eastAsia"/>
          <w:color w:val="auto"/>
          <w:lang w:val="en-US" w:eastAsia="zh-CN"/>
        </w:rPr>
        <w:t>维修</w:t>
      </w:r>
      <w:r>
        <w:rPr>
          <w:rFonts w:hint="eastAsia"/>
          <w:color w:val="auto"/>
        </w:rPr>
        <w:t>设备</w:t>
      </w:r>
      <w:r>
        <w:rPr>
          <w:rFonts w:hint="eastAsia"/>
          <w:color w:val="auto"/>
          <w:lang w:val="en-US" w:eastAsia="zh-CN"/>
        </w:rPr>
        <w:t>设施</w:t>
      </w:r>
      <w:r>
        <w:rPr>
          <w:rFonts w:hint="eastAsia"/>
          <w:color w:val="auto"/>
        </w:rPr>
        <w:t>名称、数量及地点</w:t>
      </w:r>
      <w:r>
        <w:rPr>
          <w:rFonts w:hint="eastAsia"/>
          <w:color w:val="auto"/>
          <w:lang w:eastAsia="zh-CN"/>
        </w:rPr>
        <w:t>：</w:t>
      </w:r>
    </w:p>
    <w:p>
      <w:pPr>
        <w:numPr>
          <w:ilvl w:val="1"/>
          <w:numId w:val="4"/>
        </w:numPr>
        <w:bidi w:val="0"/>
        <w:ind w:left="567" w:leftChars="0" w:hanging="567" w:firstLineChars="0"/>
        <w:rPr>
          <w:rFonts w:hint="eastAsia"/>
          <w:color w:val="auto"/>
        </w:rPr>
      </w:pPr>
      <w:r>
        <w:rPr>
          <w:rFonts w:hint="eastAsia"/>
          <w:color w:val="auto"/>
        </w:rPr>
        <w:t>设备</w:t>
      </w:r>
      <w:r>
        <w:rPr>
          <w:rFonts w:hint="eastAsia"/>
          <w:color w:val="auto"/>
          <w:lang w:val="en-US" w:eastAsia="zh-CN"/>
        </w:rPr>
        <w:t>设施</w:t>
      </w:r>
      <w:r>
        <w:rPr>
          <w:rFonts w:hint="eastAsia"/>
          <w:color w:val="auto"/>
        </w:rPr>
        <w:t>名称：</w:t>
      </w:r>
      <w:r>
        <w:rPr>
          <w:rFonts w:hint="eastAsia" w:eastAsia="宋体"/>
          <w:color w:val="auto"/>
          <w:lang w:val="en-US" w:eastAsia="zh-CN"/>
        </w:rPr>
        <w:t>锅炉房水处理设备</w:t>
      </w:r>
      <w:r>
        <w:rPr>
          <w:rFonts w:hint="eastAsia"/>
          <w:color w:val="auto"/>
          <w:lang w:val="en-US" w:eastAsia="zh-CN"/>
        </w:rPr>
        <w:t>。</w:t>
      </w:r>
      <w:r>
        <w:rPr>
          <w:rFonts w:hint="eastAsia"/>
          <w:color w:val="auto"/>
        </w:rPr>
        <w:t xml:space="preserve">                        </w:t>
      </w:r>
    </w:p>
    <w:p>
      <w:pPr>
        <w:numPr>
          <w:ilvl w:val="1"/>
          <w:numId w:val="4"/>
        </w:numPr>
        <w:bidi w:val="0"/>
        <w:ind w:left="567" w:leftChars="0" w:hanging="567" w:firstLineChars="0"/>
        <w:rPr>
          <w:rFonts w:hint="eastAsia"/>
          <w:color w:val="auto"/>
        </w:rPr>
      </w:pPr>
      <w:r>
        <w:rPr>
          <w:rFonts w:hint="eastAsia"/>
          <w:color w:val="auto"/>
        </w:rPr>
        <w:t>设备</w:t>
      </w:r>
      <w:r>
        <w:rPr>
          <w:rFonts w:hint="eastAsia"/>
          <w:color w:val="auto"/>
          <w:lang w:val="en-US" w:eastAsia="zh-CN"/>
        </w:rPr>
        <w:t>设施</w:t>
      </w:r>
      <w:r>
        <w:rPr>
          <w:rFonts w:hint="eastAsia"/>
          <w:color w:val="auto"/>
        </w:rPr>
        <w:t>数量：树脂罐</w:t>
      </w:r>
      <w:r>
        <w:rPr>
          <w:rFonts w:hint="eastAsia"/>
          <w:color w:val="auto"/>
        </w:rPr>
        <w:tab/>
      </w:r>
      <w:r>
        <w:rPr>
          <w:rFonts w:hint="eastAsia"/>
          <w:color w:val="auto"/>
        </w:rPr>
        <w:tab/>
      </w:r>
      <w:r>
        <w:rPr>
          <w:rFonts w:hint="eastAsia"/>
          <w:color w:val="auto"/>
        </w:rPr>
        <w:tab/>
      </w:r>
      <w:r>
        <w:rPr>
          <w:rFonts w:hint="eastAsia"/>
          <w:color w:val="auto"/>
        </w:rPr>
        <w:t>3台</w:t>
      </w:r>
      <w:r>
        <w:rPr>
          <w:rFonts w:hint="eastAsia"/>
          <w:color w:val="auto"/>
          <w:lang w:eastAsia="zh-CN"/>
        </w:rPr>
        <w:t>、</w:t>
      </w:r>
      <w:r>
        <w:rPr>
          <w:rFonts w:hint="eastAsia"/>
          <w:color w:val="auto"/>
        </w:rPr>
        <w:t>机头</w:t>
      </w:r>
      <w:r>
        <w:rPr>
          <w:rFonts w:hint="eastAsia"/>
          <w:color w:val="auto"/>
        </w:rPr>
        <w:tab/>
      </w:r>
      <w:r>
        <w:rPr>
          <w:rFonts w:hint="eastAsia"/>
          <w:color w:val="auto"/>
        </w:rPr>
        <w:tab/>
      </w:r>
      <w:r>
        <w:rPr>
          <w:rFonts w:hint="eastAsia"/>
          <w:color w:val="auto"/>
        </w:rPr>
        <w:tab/>
      </w:r>
      <w:r>
        <w:rPr>
          <w:rFonts w:hint="eastAsia"/>
          <w:color w:val="auto"/>
        </w:rPr>
        <w:t>3台</w:t>
      </w:r>
      <w:r>
        <w:rPr>
          <w:rFonts w:hint="eastAsia"/>
          <w:color w:val="auto"/>
          <w:lang w:eastAsia="zh-CN"/>
        </w:rPr>
        <w:t>。</w:t>
      </w:r>
      <w:r>
        <w:rPr>
          <w:rFonts w:hint="eastAsia"/>
          <w:color w:val="auto"/>
        </w:rPr>
        <w:t xml:space="preserve">                           </w:t>
      </w:r>
    </w:p>
    <w:p>
      <w:pPr>
        <w:numPr>
          <w:ilvl w:val="1"/>
          <w:numId w:val="4"/>
        </w:numPr>
        <w:bidi w:val="0"/>
        <w:ind w:left="567" w:leftChars="0" w:hanging="567" w:firstLineChars="0"/>
        <w:rPr>
          <w:color w:val="auto"/>
        </w:rPr>
      </w:pPr>
      <w:r>
        <w:rPr>
          <w:rFonts w:hint="eastAsia"/>
          <w:color w:val="auto"/>
        </w:rPr>
        <w:t>设备</w:t>
      </w:r>
      <w:r>
        <w:rPr>
          <w:rFonts w:hint="eastAsia"/>
          <w:color w:val="auto"/>
          <w:lang w:val="en-US" w:eastAsia="zh-CN"/>
        </w:rPr>
        <w:t>设施</w:t>
      </w:r>
      <w:r>
        <w:rPr>
          <w:rFonts w:hint="eastAsia"/>
          <w:color w:val="auto"/>
        </w:rPr>
        <w:t>地点：</w:t>
      </w:r>
      <w:r>
        <w:rPr>
          <w:rFonts w:hint="eastAsia"/>
          <w:color w:val="auto"/>
          <w:lang w:eastAsia="zh-CN"/>
        </w:rPr>
        <w:t>丹阳市人民医院锅炉房。</w:t>
      </w:r>
      <w:r>
        <w:rPr>
          <w:rFonts w:hint="eastAsia"/>
          <w:color w:val="auto"/>
        </w:rPr>
        <w:t xml:space="preserve">                          </w:t>
      </w:r>
    </w:p>
    <w:p>
      <w:pPr>
        <w:numPr>
          <w:ilvl w:val="0"/>
          <w:numId w:val="4"/>
        </w:numPr>
        <w:bidi w:val="0"/>
        <w:ind w:left="425" w:leftChars="0" w:hanging="425" w:firstLineChars="0"/>
        <w:rPr>
          <w:rFonts w:hint="eastAsia"/>
          <w:color w:val="auto"/>
        </w:rPr>
      </w:pPr>
      <w:r>
        <w:rPr>
          <w:rFonts w:hint="eastAsia"/>
          <w:color w:val="auto"/>
        </w:rPr>
        <w:t>维保</w:t>
      </w:r>
      <w:r>
        <w:rPr>
          <w:rFonts w:hint="eastAsia"/>
          <w:color w:val="auto"/>
          <w:lang w:val="en-US" w:eastAsia="zh-CN"/>
        </w:rPr>
        <w:t>维修</w:t>
      </w:r>
      <w:r>
        <w:rPr>
          <w:rFonts w:hint="eastAsia"/>
          <w:color w:val="auto"/>
        </w:rPr>
        <w:t>内容：</w:t>
      </w:r>
    </w:p>
    <w:p>
      <w:pPr>
        <w:numPr>
          <w:ilvl w:val="1"/>
          <w:numId w:val="4"/>
        </w:numPr>
        <w:rPr>
          <w:color w:val="auto"/>
        </w:rPr>
      </w:pPr>
      <w:r>
        <w:rPr>
          <w:rFonts w:hint="eastAsia"/>
          <w:color w:val="auto"/>
        </w:rPr>
        <w:t>维保方负责为院内锅炉房水处理提供维修保养服务，维保工作中产生的人工费、车旅费等由维保方承担，产生的材料费由院方承担，更换下来的部件归院方所有。</w:t>
      </w:r>
    </w:p>
    <w:p>
      <w:pPr>
        <w:numPr>
          <w:ilvl w:val="1"/>
          <w:numId w:val="4"/>
        </w:numPr>
        <w:rPr>
          <w:color w:val="auto"/>
        </w:rPr>
      </w:pPr>
      <w:r>
        <w:rPr>
          <w:rFonts w:hint="eastAsia"/>
          <w:color w:val="auto"/>
        </w:rPr>
        <w:t>每季度对锅炉水处理系统进行1次现场检查，及时发现消除隐患。</w:t>
      </w:r>
    </w:p>
    <w:p>
      <w:pPr>
        <w:numPr>
          <w:ilvl w:val="1"/>
          <w:numId w:val="4"/>
        </w:numPr>
        <w:rPr>
          <w:color w:val="auto"/>
        </w:rPr>
      </w:pPr>
      <w:r>
        <w:rPr>
          <w:rFonts w:hint="eastAsia"/>
          <w:color w:val="auto"/>
        </w:rPr>
        <w:t>为锅炉水处理系统（机头、树脂罐等）提供维修、更换服务:</w:t>
      </w:r>
    </w:p>
    <w:p>
      <w:pPr>
        <w:numPr>
          <w:ilvl w:val="2"/>
          <w:numId w:val="4"/>
        </w:numPr>
        <w:tabs>
          <w:tab w:val="left" w:pos="420"/>
        </w:tabs>
        <w:rPr>
          <w:color w:val="auto"/>
        </w:rPr>
      </w:pPr>
      <w:r>
        <w:rPr>
          <w:rFonts w:hint="eastAsia"/>
          <w:color w:val="auto"/>
        </w:rPr>
        <w:t>机头：调试及损坏后更换。</w:t>
      </w:r>
    </w:p>
    <w:p>
      <w:pPr>
        <w:numPr>
          <w:ilvl w:val="2"/>
          <w:numId w:val="4"/>
        </w:numPr>
        <w:tabs>
          <w:tab w:val="left" w:pos="420"/>
        </w:tabs>
        <w:rPr>
          <w:color w:val="auto"/>
        </w:rPr>
      </w:pPr>
      <w:r>
        <w:rPr>
          <w:rFonts w:hint="eastAsia"/>
          <w:color w:val="auto"/>
        </w:rPr>
        <w:t>树脂罐：每季度进行一次水质检测，根据水质情况确定是否需要更换树脂，树脂更换工作含维保范围内。</w:t>
      </w:r>
    </w:p>
    <w:p>
      <w:pPr>
        <w:numPr>
          <w:ilvl w:val="2"/>
          <w:numId w:val="4"/>
        </w:numPr>
        <w:tabs>
          <w:tab w:val="left" w:pos="420"/>
        </w:tabs>
        <w:rPr>
          <w:color w:val="auto"/>
        </w:rPr>
      </w:pPr>
      <w:r>
        <w:rPr>
          <w:rFonts w:hint="eastAsia"/>
          <w:color w:val="auto"/>
        </w:rPr>
        <w:t>对树脂罐内部配件进行检查，根据实际情况进行更换，确保不出现因内部配件损坏而造成树脂外溢现象。</w:t>
      </w:r>
    </w:p>
    <w:p>
      <w:pPr>
        <w:numPr>
          <w:ilvl w:val="1"/>
          <w:numId w:val="4"/>
        </w:numPr>
        <w:rPr>
          <w:color w:val="auto"/>
        </w:rPr>
      </w:pPr>
      <w:r>
        <w:rPr>
          <w:rFonts w:hint="eastAsia"/>
          <w:color w:val="auto"/>
        </w:rPr>
        <w:t>每季度现场检查结束后，向院方提交巡检报告，如检查中发现隐患须在巡检报告上注明，并制定相应整改措施。</w:t>
      </w:r>
    </w:p>
    <w:p>
      <w:pPr>
        <w:numPr>
          <w:ilvl w:val="1"/>
          <w:numId w:val="4"/>
        </w:numPr>
        <w:rPr>
          <w:color w:val="auto"/>
        </w:rPr>
      </w:pPr>
      <w:r>
        <w:rPr>
          <w:rFonts w:hint="eastAsia"/>
          <w:color w:val="auto"/>
        </w:rPr>
        <w:t>接到故障报修，4小时内维保人员到场，故障未排除前或未能有效开展应急供水前不得离开医院。</w:t>
      </w:r>
    </w:p>
    <w:p>
      <w:pPr>
        <w:numPr>
          <w:ilvl w:val="1"/>
          <w:numId w:val="4"/>
        </w:numPr>
        <w:rPr>
          <w:color w:val="auto"/>
        </w:rPr>
      </w:pPr>
      <w:r>
        <w:rPr>
          <w:rFonts w:hint="eastAsia"/>
          <w:color w:val="auto"/>
        </w:rPr>
        <w:t>合同期内，院方有权对维保方的工作质量进行监管。当院方经电话或书面致函通知后，维保方仍不进场维保或虽在要求的时间内进场维保，但在维保过程中因维保方原因导致未能及时修复，院方有权委托维保方以外的第三方进行维保，所发生的人工费、车旅费等由维保方承担，并须承担违约金500元。</w:t>
      </w:r>
    </w:p>
    <w:p>
      <w:pPr>
        <w:numPr>
          <w:ilvl w:val="1"/>
          <w:numId w:val="4"/>
        </w:numPr>
        <w:rPr>
          <w:rFonts w:hint="eastAsia"/>
          <w:color w:val="auto"/>
        </w:rPr>
      </w:pPr>
      <w:r>
        <w:rPr>
          <w:rFonts w:hint="eastAsia"/>
          <w:color w:val="auto"/>
        </w:rPr>
        <w:t>向院方提供易损件清单，便于院方备货。</w:t>
      </w:r>
    </w:p>
    <w:p>
      <w:pPr>
        <w:numPr>
          <w:ilvl w:val="1"/>
          <w:numId w:val="4"/>
        </w:numPr>
        <w:rPr>
          <w:color w:val="auto"/>
        </w:rPr>
      </w:pPr>
      <w:r>
        <w:rPr>
          <w:rFonts w:hint="eastAsia"/>
          <w:color w:val="auto"/>
        </w:rPr>
        <w:t>维保工作中如需更换材料，由维保方提供材料品牌、型号及规格，院方采购。如遇急修或院方无法及时提供材料，则由维保方购买，院方按实审计结算；维保方对提供的零配件（＞1000元）作质量担保，质保期1年（安装调试合格起计时，由于院方使用不当造成的损坏不在质量担保之列）。</w:t>
      </w:r>
    </w:p>
    <w:p>
      <w:pPr>
        <w:numPr>
          <w:ilvl w:val="0"/>
          <w:numId w:val="4"/>
        </w:numPr>
        <w:bidi w:val="0"/>
        <w:ind w:left="425" w:leftChars="0" w:hanging="425" w:firstLineChars="0"/>
        <w:rPr>
          <w:rFonts w:hint="eastAsia"/>
          <w:color w:val="auto"/>
        </w:rPr>
      </w:pPr>
      <w:r>
        <w:rPr>
          <w:rFonts w:hint="eastAsia"/>
          <w:color w:val="auto"/>
        </w:rPr>
        <w:t>维保</w:t>
      </w:r>
      <w:r>
        <w:rPr>
          <w:rFonts w:hint="eastAsia"/>
          <w:color w:val="auto"/>
          <w:lang w:val="en-US" w:eastAsia="zh-CN"/>
        </w:rPr>
        <w:t>维修</w:t>
      </w:r>
      <w:r>
        <w:rPr>
          <w:rFonts w:hint="eastAsia"/>
          <w:color w:val="auto"/>
        </w:rPr>
        <w:t>标准：</w:t>
      </w:r>
    </w:p>
    <w:p>
      <w:pPr>
        <w:numPr>
          <w:ilvl w:val="2"/>
          <w:numId w:val="4"/>
        </w:numPr>
        <w:bidi w:val="0"/>
        <w:ind w:left="709" w:leftChars="0" w:hanging="709" w:firstLineChars="0"/>
        <w:rPr>
          <w:rFonts w:hint="eastAsia" w:eastAsia="宋体"/>
          <w:color w:val="auto"/>
          <w:lang w:val="en-US" w:eastAsia="zh-CN"/>
        </w:rPr>
      </w:pPr>
      <w:r>
        <w:rPr>
          <w:rFonts w:hint="eastAsia" w:eastAsia="宋体"/>
          <w:color w:val="auto"/>
          <w:lang w:val="en-US" w:eastAsia="zh-CN"/>
        </w:rPr>
        <w:t>每季度现场检查结束后，向甲方提交巡检报告，如检查中发现隐患须在巡检报告上注明，并制定相应整改措施。</w:t>
      </w:r>
    </w:p>
    <w:p>
      <w:pPr>
        <w:numPr>
          <w:ilvl w:val="2"/>
          <w:numId w:val="4"/>
        </w:numPr>
        <w:bidi w:val="0"/>
        <w:ind w:left="709" w:leftChars="0" w:hanging="709" w:firstLineChars="0"/>
        <w:rPr>
          <w:rFonts w:hint="eastAsia" w:eastAsia="宋体"/>
          <w:color w:val="auto"/>
          <w:lang w:val="en-US" w:eastAsia="zh-CN"/>
        </w:rPr>
      </w:pPr>
      <w:r>
        <w:rPr>
          <w:rFonts w:hint="eastAsia" w:eastAsia="宋体"/>
          <w:color w:val="auto"/>
          <w:lang w:val="en-US" w:eastAsia="zh-CN"/>
        </w:rPr>
        <w:t>接到故障报修，4小时内维保人员到场，故障未排除前或未能有效开展应急供水前不得离开医院。</w:t>
      </w:r>
    </w:p>
    <w:p>
      <w:pPr>
        <w:numPr>
          <w:ilvl w:val="0"/>
          <w:numId w:val="4"/>
        </w:numPr>
        <w:bidi w:val="0"/>
        <w:ind w:left="425" w:leftChars="0" w:hanging="425" w:firstLineChars="0"/>
        <w:rPr>
          <w:rFonts w:hint="eastAsia"/>
          <w:color w:val="auto"/>
        </w:rPr>
      </w:pPr>
      <w:r>
        <w:rPr>
          <w:rFonts w:hint="eastAsia"/>
          <w:color w:val="auto"/>
        </w:rPr>
        <w:t>考核标准：考核每季1次，对维保服务规范与质量进行考核。</w:t>
      </w:r>
      <w:r>
        <w:rPr>
          <w:rFonts w:hint="eastAsia"/>
          <w:color w:val="auto"/>
          <w:lang w:eastAsia="zh-CN"/>
        </w:rPr>
        <w:t>（见合同附件）</w:t>
      </w:r>
    </w:p>
    <w:p>
      <w:pPr>
        <w:numPr>
          <w:ilvl w:val="2"/>
          <w:numId w:val="4"/>
        </w:numPr>
        <w:bidi w:val="0"/>
        <w:ind w:left="709" w:leftChars="0" w:hanging="709" w:firstLineChars="0"/>
        <w:rPr>
          <w:rFonts w:hint="eastAsia" w:eastAsia="宋体"/>
          <w:color w:val="auto"/>
          <w:lang w:val="en-US" w:eastAsia="zh-CN"/>
        </w:rPr>
      </w:pPr>
      <w:r>
        <w:rPr>
          <w:rFonts w:hint="eastAsia" w:eastAsia="宋体"/>
          <w:color w:val="auto"/>
          <w:lang w:val="en-US" w:eastAsia="zh-CN"/>
        </w:rPr>
        <w:t>当季考核分 ≥90分为合格。</w:t>
      </w:r>
    </w:p>
    <w:p>
      <w:pPr>
        <w:numPr>
          <w:ilvl w:val="2"/>
          <w:numId w:val="4"/>
        </w:numPr>
        <w:bidi w:val="0"/>
        <w:ind w:left="709" w:leftChars="0" w:hanging="709" w:firstLineChars="0"/>
        <w:rPr>
          <w:rFonts w:hint="eastAsia" w:eastAsia="宋体"/>
          <w:color w:val="auto"/>
          <w:lang w:val="en-US" w:eastAsia="zh-CN"/>
        </w:rPr>
      </w:pPr>
      <w:r>
        <w:rPr>
          <w:rFonts w:hint="eastAsia" w:eastAsia="宋体"/>
          <w:color w:val="auto"/>
          <w:lang w:val="en-US" w:eastAsia="zh-CN"/>
        </w:rPr>
        <w:t>季度考核分＜90分且连续出现3次的，甲方有权单方面终止合同。</w:t>
      </w:r>
    </w:p>
    <w:p>
      <w:pPr>
        <w:numPr>
          <w:ilvl w:val="2"/>
          <w:numId w:val="4"/>
        </w:numPr>
        <w:bidi w:val="0"/>
        <w:ind w:left="709" w:leftChars="0" w:hanging="709" w:firstLineChars="0"/>
        <w:rPr>
          <w:color w:val="auto"/>
        </w:rPr>
      </w:pPr>
      <w:r>
        <w:rPr>
          <w:rFonts w:hint="eastAsia" w:eastAsia="宋体"/>
          <w:color w:val="auto"/>
          <w:lang w:val="en-US" w:eastAsia="zh-CN"/>
        </w:rPr>
        <w:t>全年累计出现3次考核分≤80分的，甲方有权单方面终止合同。</w:t>
      </w:r>
    </w:p>
    <w:p>
      <w:pPr>
        <w:numPr>
          <w:ilvl w:val="0"/>
          <w:numId w:val="4"/>
        </w:numPr>
        <w:bidi w:val="0"/>
        <w:ind w:left="425" w:leftChars="0" w:hanging="425" w:firstLineChars="0"/>
        <w:rPr>
          <w:rFonts w:hint="eastAsia"/>
          <w:color w:val="auto"/>
        </w:rPr>
      </w:pPr>
      <w:r>
        <w:rPr>
          <w:rFonts w:hint="eastAsia"/>
          <w:color w:val="auto"/>
        </w:rPr>
        <w:t xml:space="preserve">合同期： </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年，自</w:t>
      </w:r>
      <w:r>
        <w:rPr>
          <w:rFonts w:hint="eastAsia"/>
          <w:color w:val="auto"/>
          <w:u w:val="single"/>
        </w:rPr>
        <w:t xml:space="preserve">       </w:t>
      </w:r>
      <w:r>
        <w:rPr>
          <w:rFonts w:hint="eastAsia"/>
          <w:color w:val="auto"/>
        </w:rPr>
        <w:t xml:space="preserve"> 年 </w:t>
      </w:r>
      <w:r>
        <w:rPr>
          <w:rFonts w:hint="eastAsia"/>
          <w:color w:val="auto"/>
          <w:u w:val="single"/>
          <w:lang w:val="en-US" w:eastAsia="zh-CN"/>
        </w:rPr>
        <w:t xml:space="preserve">  </w:t>
      </w:r>
      <w:r>
        <w:rPr>
          <w:rFonts w:hint="eastAsia"/>
          <w:color w:val="auto"/>
          <w:u w:val="single"/>
        </w:rPr>
        <w:t xml:space="preserve"> </w:t>
      </w:r>
      <w:r>
        <w:rPr>
          <w:rFonts w:hint="eastAsia"/>
          <w:color w:val="auto"/>
        </w:rPr>
        <w:t xml:space="preserve">月 </w:t>
      </w:r>
      <w:r>
        <w:rPr>
          <w:rFonts w:hint="eastAsia"/>
          <w:color w:val="auto"/>
          <w:u w:val="single"/>
          <w:lang w:val="en-US" w:eastAsia="zh-CN"/>
        </w:rPr>
        <w:t xml:space="preserve">  </w:t>
      </w:r>
      <w:r>
        <w:rPr>
          <w:rFonts w:hint="eastAsia"/>
          <w:color w:val="auto"/>
          <w:u w:val="single"/>
        </w:rPr>
        <w:t xml:space="preserve"> </w:t>
      </w:r>
      <w:r>
        <w:rPr>
          <w:rFonts w:hint="eastAsia"/>
          <w:color w:val="auto"/>
        </w:rPr>
        <w:t xml:space="preserve">日起，至 </w:t>
      </w:r>
      <w:r>
        <w:rPr>
          <w:rFonts w:hint="eastAsia"/>
          <w:color w:val="auto"/>
          <w:u w:val="single"/>
        </w:rPr>
        <w:t xml:space="preserve">       </w:t>
      </w:r>
      <w:r>
        <w:rPr>
          <w:rFonts w:hint="eastAsia"/>
          <w:color w:val="auto"/>
        </w:rPr>
        <w:t xml:space="preserve"> 年 </w:t>
      </w:r>
      <w:r>
        <w:rPr>
          <w:rFonts w:hint="eastAsia"/>
          <w:color w:val="auto"/>
          <w:u w:val="single"/>
          <w:lang w:val="en-US" w:eastAsia="zh-CN"/>
        </w:rPr>
        <w:t xml:space="preserve">  </w:t>
      </w:r>
      <w:r>
        <w:rPr>
          <w:rFonts w:hint="eastAsia"/>
          <w:color w:val="auto"/>
          <w:u w:val="single"/>
        </w:rPr>
        <w:t xml:space="preserve"> </w:t>
      </w:r>
      <w:r>
        <w:rPr>
          <w:rFonts w:hint="eastAsia"/>
          <w:color w:val="auto"/>
        </w:rPr>
        <w:t xml:space="preserve">月 </w:t>
      </w:r>
      <w:r>
        <w:rPr>
          <w:rFonts w:hint="eastAsia"/>
          <w:color w:val="auto"/>
          <w:u w:val="single"/>
          <w:lang w:val="en-US" w:eastAsia="zh-CN"/>
        </w:rPr>
        <w:t xml:space="preserve">  </w:t>
      </w:r>
      <w:r>
        <w:rPr>
          <w:rFonts w:hint="eastAsia"/>
          <w:color w:val="auto"/>
          <w:u w:val="single"/>
        </w:rPr>
        <w:t xml:space="preserve"> </w:t>
      </w:r>
      <w:r>
        <w:rPr>
          <w:rFonts w:hint="eastAsia"/>
          <w:color w:val="auto"/>
        </w:rPr>
        <w:t>日止。</w:t>
      </w:r>
    </w:p>
    <w:p>
      <w:pPr>
        <w:numPr>
          <w:ilvl w:val="0"/>
          <w:numId w:val="4"/>
        </w:numPr>
        <w:bidi w:val="0"/>
        <w:ind w:left="425" w:leftChars="0" w:hanging="425" w:firstLineChars="0"/>
        <w:rPr>
          <w:rFonts w:hint="eastAsia"/>
          <w:color w:val="auto"/>
        </w:rPr>
      </w:pPr>
      <w:r>
        <w:rPr>
          <w:rFonts w:hint="eastAsia"/>
          <w:color w:val="auto"/>
        </w:rPr>
        <w:t>合同价及结算方式</w:t>
      </w:r>
    </w:p>
    <w:p>
      <w:pPr>
        <w:numPr>
          <w:ilvl w:val="1"/>
          <w:numId w:val="4"/>
        </w:numPr>
        <w:bidi w:val="0"/>
        <w:ind w:left="567" w:leftChars="0" w:hanging="567" w:firstLineChars="0"/>
        <w:rPr>
          <w:rFonts w:hint="eastAsia"/>
          <w:color w:val="auto"/>
        </w:rPr>
      </w:pPr>
      <w:r>
        <w:rPr>
          <w:rFonts w:hint="eastAsia"/>
          <w:color w:val="auto"/>
        </w:rPr>
        <w:t>合同总价（人民币大写）：</w:t>
      </w:r>
      <w:r>
        <w:rPr>
          <w:rFonts w:hint="eastAsia"/>
          <w:color w:val="auto"/>
          <w:u w:val="single"/>
        </w:rPr>
        <w:t xml:space="preserve">         </w:t>
      </w:r>
      <w:r>
        <w:rPr>
          <w:rFonts w:hint="eastAsia"/>
          <w:color w:val="auto"/>
        </w:rPr>
        <w:t>；（人民币小写）：</w:t>
      </w:r>
      <w:r>
        <w:rPr>
          <w:rFonts w:hint="eastAsia"/>
          <w:color w:val="auto"/>
          <w:u w:val="single"/>
        </w:rPr>
        <w:t xml:space="preserve">      </w:t>
      </w:r>
      <w:r>
        <w:rPr>
          <w:rFonts w:hint="eastAsia"/>
          <w:color w:val="auto"/>
        </w:rPr>
        <w:t>（元）；</w:t>
      </w:r>
    </w:p>
    <w:p>
      <w:pPr>
        <w:numPr>
          <w:ilvl w:val="1"/>
          <w:numId w:val="4"/>
        </w:numPr>
        <w:bidi w:val="0"/>
        <w:ind w:left="567" w:leftChars="0" w:hanging="567" w:firstLineChars="0"/>
        <w:rPr>
          <w:rFonts w:hint="eastAsia"/>
          <w:color w:val="auto"/>
        </w:rPr>
      </w:pPr>
      <w:r>
        <w:rPr>
          <w:rFonts w:hint="eastAsia"/>
          <w:color w:val="auto"/>
        </w:rPr>
        <w:t>结算方式：</w:t>
      </w:r>
      <w:r>
        <w:rPr>
          <w:rFonts w:hint="eastAsia" w:eastAsia="宋体"/>
          <w:color w:val="auto"/>
          <w:lang w:val="en-US" w:eastAsia="zh-CN"/>
        </w:rPr>
        <w:t>六个月结算一次，乙方提供等额发票。考核分 ≥90分的，院方全额支付，考核分＜90分的，每下降一分扣除年维保费的2%。</w:t>
      </w:r>
      <w:r>
        <w:rPr>
          <w:rFonts w:hint="eastAsia"/>
          <w:color w:val="auto"/>
          <w:lang w:val="en-US" w:eastAsia="zh-CN"/>
        </w:rPr>
        <w:t>考核表见合同附件。</w:t>
      </w:r>
    </w:p>
    <w:p>
      <w:pPr>
        <w:numPr>
          <w:ilvl w:val="0"/>
          <w:numId w:val="4"/>
        </w:numPr>
        <w:bidi w:val="0"/>
        <w:ind w:left="425" w:leftChars="0" w:hanging="425" w:firstLineChars="0"/>
        <w:rPr>
          <w:rFonts w:hint="eastAsia"/>
          <w:color w:val="auto"/>
        </w:rPr>
      </w:pPr>
      <w:r>
        <w:rPr>
          <w:rFonts w:hint="eastAsia"/>
          <w:color w:val="auto"/>
        </w:rPr>
        <w:t>有关安全生产和防火等的现场管理约定</w:t>
      </w:r>
    </w:p>
    <w:p>
      <w:pPr>
        <w:numPr>
          <w:ilvl w:val="1"/>
          <w:numId w:val="4"/>
        </w:numPr>
        <w:bidi w:val="0"/>
        <w:ind w:left="567" w:leftChars="0" w:hanging="567" w:firstLineChars="0"/>
        <w:rPr>
          <w:rFonts w:hint="eastAsia"/>
          <w:color w:val="auto"/>
        </w:rPr>
      </w:pPr>
      <w:r>
        <w:rPr>
          <w:rFonts w:hint="eastAsia"/>
          <w:color w:val="auto"/>
        </w:rPr>
        <w:t>甲方提供的服务场地应符合防火、防事故的要求，乙方在服务中应采取必要的安全防护和消防措施，保障作业人员及相邻人员的安全，防止相邻房屋的管道堵塞、渗漏水、停电、物品毁坏等事故发生。如遇上述情况发生，属于乙方责任的，由乙方负责修复和赔偿。</w:t>
      </w:r>
    </w:p>
    <w:p>
      <w:pPr>
        <w:numPr>
          <w:ilvl w:val="1"/>
          <w:numId w:val="4"/>
        </w:numPr>
        <w:bidi w:val="0"/>
        <w:ind w:left="567" w:leftChars="0" w:hanging="567" w:firstLineChars="0"/>
        <w:rPr>
          <w:rFonts w:hint="eastAsia"/>
          <w:color w:val="auto"/>
        </w:rPr>
      </w:pPr>
      <w:r>
        <w:rPr>
          <w:rFonts w:hint="eastAsia"/>
          <w:color w:val="auto"/>
        </w:rPr>
        <w:t>乙方如因维保原因需居住在维保现场，日常用水、用电、用燃气等必须注意安全，如乙方因此而造成相关后果，由乙方负责。</w:t>
      </w:r>
    </w:p>
    <w:p>
      <w:pPr>
        <w:numPr>
          <w:ilvl w:val="1"/>
          <w:numId w:val="4"/>
        </w:numPr>
        <w:bidi w:val="0"/>
        <w:ind w:left="567" w:leftChars="0" w:hanging="567" w:firstLineChars="0"/>
        <w:rPr>
          <w:rFonts w:hint="eastAsia"/>
          <w:color w:val="auto"/>
        </w:rPr>
      </w:pPr>
      <w:r>
        <w:rPr>
          <w:rFonts w:hint="eastAsia"/>
          <w:color w:val="auto"/>
        </w:rPr>
        <w:t>乙方应做好服务现场管理工作，禁止无关人员进入现场。</w:t>
      </w:r>
    </w:p>
    <w:p>
      <w:pPr>
        <w:numPr>
          <w:ilvl w:val="1"/>
          <w:numId w:val="4"/>
        </w:numPr>
        <w:bidi w:val="0"/>
        <w:ind w:left="567" w:leftChars="0" w:hanging="567" w:firstLineChars="0"/>
        <w:rPr>
          <w:color w:val="auto"/>
        </w:rPr>
      </w:pPr>
      <w:r>
        <w:rPr>
          <w:rFonts w:hint="eastAsia"/>
          <w:color w:val="auto"/>
        </w:rPr>
        <w:t>乙方</w:t>
      </w:r>
      <w:r>
        <w:rPr>
          <w:rFonts w:hint="eastAsia"/>
          <w:color w:val="auto"/>
          <w:lang w:val="en-US" w:eastAsia="zh-CN"/>
        </w:rPr>
        <w:t>在</w:t>
      </w:r>
      <w:r>
        <w:rPr>
          <w:rFonts w:hint="eastAsia"/>
          <w:color w:val="auto"/>
        </w:rPr>
        <w:t>本合同履行过程中造成自身或他人人身、财产损失的，由乙方承担全部责任，给甲方造成损失的，甲方有权向乙方追偿。</w:t>
      </w:r>
    </w:p>
    <w:p>
      <w:pPr>
        <w:numPr>
          <w:ilvl w:val="1"/>
          <w:numId w:val="4"/>
        </w:numPr>
        <w:bidi w:val="0"/>
        <w:ind w:left="567" w:leftChars="0" w:hanging="567" w:firstLineChars="0"/>
        <w:rPr>
          <w:rFonts w:hint="eastAsia"/>
          <w:color w:val="auto"/>
        </w:rPr>
      </w:pPr>
      <w:r>
        <w:rPr>
          <w:rFonts w:hint="eastAsia"/>
          <w:color w:val="auto"/>
        </w:rPr>
        <w:t>乙方交通工具自备，所有安全责任自负，与甲方无涉。</w:t>
      </w:r>
    </w:p>
    <w:p>
      <w:pPr>
        <w:numPr>
          <w:ilvl w:val="1"/>
          <w:numId w:val="4"/>
        </w:numPr>
        <w:bidi w:val="0"/>
        <w:ind w:left="567" w:leftChars="0" w:hanging="567" w:firstLineChars="0"/>
        <w:rPr>
          <w:rFonts w:hint="eastAsia"/>
          <w:color w:val="auto"/>
        </w:rPr>
      </w:pPr>
      <w:r>
        <w:rPr>
          <w:rFonts w:hint="eastAsia"/>
          <w:color w:val="auto"/>
        </w:rPr>
        <w:t>乙方工作中用水、用电、动火等必须注意安全，如乙方因此而造成相关后果，由乙方负责。</w:t>
      </w:r>
    </w:p>
    <w:p>
      <w:pPr>
        <w:numPr>
          <w:ilvl w:val="0"/>
          <w:numId w:val="4"/>
        </w:numPr>
        <w:bidi w:val="0"/>
        <w:ind w:left="425" w:leftChars="0" w:hanging="425" w:firstLineChars="0"/>
        <w:rPr>
          <w:rFonts w:hint="eastAsia"/>
          <w:color w:val="auto"/>
        </w:rPr>
      </w:pPr>
      <w:r>
        <w:rPr>
          <w:rFonts w:hint="eastAsia"/>
          <w:color w:val="auto"/>
        </w:rPr>
        <w:t>甲方工作：</w:t>
      </w:r>
    </w:p>
    <w:p>
      <w:pPr>
        <w:numPr>
          <w:ilvl w:val="1"/>
          <w:numId w:val="4"/>
        </w:numPr>
        <w:bidi w:val="0"/>
        <w:ind w:left="567" w:leftChars="0" w:hanging="567" w:firstLineChars="0"/>
        <w:rPr>
          <w:rFonts w:hint="eastAsia"/>
          <w:color w:val="auto"/>
        </w:rPr>
      </w:pPr>
      <w:r>
        <w:rPr>
          <w:rFonts w:hint="eastAsia"/>
          <w:color w:val="auto"/>
        </w:rPr>
        <w:t>甲方为乙方提供维保需用的水、电等必备条件，水、电、气费由甲方承担。</w:t>
      </w:r>
    </w:p>
    <w:p>
      <w:pPr>
        <w:numPr>
          <w:ilvl w:val="1"/>
          <w:numId w:val="4"/>
        </w:numPr>
        <w:bidi w:val="0"/>
        <w:ind w:left="567" w:leftChars="0" w:hanging="567" w:firstLineChars="0"/>
        <w:rPr>
          <w:rFonts w:hint="eastAsia"/>
        </w:rPr>
      </w:pPr>
      <w:r>
        <w:rPr>
          <w:rFonts w:hint="eastAsia"/>
          <w:color w:val="auto"/>
        </w:rPr>
        <w:t>乙方维修工作中如需临时占用公用部位操作，甲</w:t>
      </w:r>
      <w:r>
        <w:rPr>
          <w:rFonts w:hint="eastAsia"/>
        </w:rPr>
        <w:t>方负责相关协调工作。</w:t>
      </w:r>
    </w:p>
    <w:p>
      <w:pPr>
        <w:numPr>
          <w:ilvl w:val="1"/>
          <w:numId w:val="4"/>
        </w:numPr>
        <w:bidi w:val="0"/>
        <w:ind w:left="567" w:leftChars="0" w:hanging="567" w:firstLineChars="0"/>
      </w:pPr>
      <w:bookmarkStart w:id="18" w:name="_Hlk149033973"/>
      <w:r>
        <w:rPr>
          <w:rFonts w:hint="eastAsia"/>
        </w:rPr>
        <w:t>甲方有权进入维保现场对维保项目的进度与质量进行检查、验收。</w:t>
      </w:r>
      <w:bookmarkEnd w:id="18"/>
    </w:p>
    <w:p>
      <w:pPr>
        <w:numPr>
          <w:ilvl w:val="0"/>
          <w:numId w:val="4"/>
        </w:numPr>
        <w:bidi w:val="0"/>
        <w:ind w:left="425" w:leftChars="0" w:hanging="425" w:firstLineChars="0"/>
        <w:rPr>
          <w:rFonts w:hint="eastAsia"/>
        </w:rPr>
      </w:pPr>
      <w:r>
        <w:rPr>
          <w:rFonts w:hint="eastAsia"/>
        </w:rPr>
        <w:t>乙方工作：</w:t>
      </w:r>
    </w:p>
    <w:p>
      <w:pPr>
        <w:numPr>
          <w:ilvl w:val="1"/>
          <w:numId w:val="4"/>
        </w:numPr>
        <w:bidi w:val="0"/>
        <w:ind w:left="567" w:leftChars="0" w:hanging="567" w:firstLineChars="0"/>
        <w:rPr>
          <w:rFonts w:hint="eastAsia"/>
        </w:rPr>
      </w:pPr>
      <w:r>
        <w:rPr>
          <w:rFonts w:hint="eastAsia"/>
        </w:rPr>
        <w:t>合同签约后，乙方至甲方保卫科办理《施工证申请表》（合同期内长期使用），维保（维修）工作中如动火，乙方须至甲方保卫科报备（每次）。</w:t>
      </w:r>
    </w:p>
    <w:p>
      <w:pPr>
        <w:numPr>
          <w:ilvl w:val="1"/>
          <w:numId w:val="4"/>
        </w:numPr>
        <w:bidi w:val="0"/>
        <w:ind w:left="567" w:leftChars="0" w:hanging="567" w:firstLineChars="0"/>
      </w:pPr>
      <w:r>
        <w:rPr>
          <w:rFonts w:hint="eastAsia"/>
        </w:rPr>
        <w:t>对甲方滞留在现场的设备等物品注意保护，如损坏需赔偿。</w:t>
      </w:r>
    </w:p>
    <w:p>
      <w:pPr>
        <w:numPr>
          <w:ilvl w:val="1"/>
          <w:numId w:val="4"/>
        </w:numPr>
        <w:bidi w:val="0"/>
        <w:ind w:left="567" w:leftChars="0" w:hanging="567" w:firstLineChars="0"/>
      </w:pPr>
      <w:r>
        <w:rPr>
          <w:rFonts w:hint="eastAsia"/>
        </w:rPr>
        <w:t>遵守甲方的规章制度。</w:t>
      </w:r>
    </w:p>
    <w:p>
      <w:pPr>
        <w:numPr>
          <w:ilvl w:val="0"/>
          <w:numId w:val="4"/>
        </w:numPr>
        <w:bidi w:val="0"/>
        <w:ind w:left="425" w:leftChars="0" w:hanging="425" w:firstLineChars="0"/>
        <w:rPr>
          <w:rFonts w:hint="eastAsia"/>
        </w:rPr>
      </w:pPr>
      <w:r>
        <w:rPr>
          <w:rFonts w:hint="eastAsia"/>
        </w:rPr>
        <w:t>纠纷处理方式</w:t>
      </w:r>
    </w:p>
    <w:p>
      <w:pPr>
        <w:numPr>
          <w:ilvl w:val="1"/>
          <w:numId w:val="4"/>
        </w:numPr>
        <w:bidi w:val="0"/>
        <w:ind w:left="567" w:leftChars="0" w:hanging="567" w:firstLineChars="0"/>
      </w:pPr>
      <w:r>
        <w:rPr>
          <w:rFonts w:hint="eastAsia"/>
        </w:rPr>
        <w:t>因各项事务甲乙双方发生争议时，双方协商解决。协商不成的，向丹阳市人民法院提起诉讼，权利方支出的诉讼费用、律师代理费、保函费、交通费等合理费用由败诉方承担。</w:t>
      </w:r>
    </w:p>
    <w:p>
      <w:pPr>
        <w:numPr>
          <w:ilvl w:val="0"/>
          <w:numId w:val="4"/>
        </w:numPr>
        <w:bidi w:val="0"/>
        <w:ind w:left="425" w:leftChars="0" w:hanging="425" w:firstLineChars="0"/>
        <w:rPr>
          <w:rFonts w:hint="eastAsia"/>
        </w:rPr>
      </w:pPr>
      <w:r>
        <w:rPr>
          <w:rFonts w:hint="eastAsia"/>
        </w:rPr>
        <w:t>合同履约</w:t>
      </w:r>
    </w:p>
    <w:p>
      <w:pPr>
        <w:numPr>
          <w:ilvl w:val="1"/>
          <w:numId w:val="4"/>
        </w:numPr>
        <w:bidi w:val="0"/>
        <w:ind w:left="567" w:leftChars="0" w:hanging="567" w:firstLineChars="0"/>
        <w:rPr>
          <w:rFonts w:hint="eastAsia"/>
        </w:rPr>
      </w:pPr>
      <w:r>
        <w:rPr>
          <w:rFonts w:hint="eastAsia"/>
        </w:rPr>
        <w:t>合同经双方签字生效后，双方必须严格遵守，除因不可抗力情形，任何一方不得单方面解除或终止合同，否则应向对方支付违约金</w:t>
      </w:r>
      <w:r>
        <w:rPr>
          <w:rFonts w:hint="eastAsia"/>
          <w:u w:val="single"/>
        </w:rPr>
        <w:t xml:space="preserve">    </w:t>
      </w:r>
      <w:r>
        <w:rPr>
          <w:rFonts w:hint="eastAsia"/>
        </w:rPr>
        <w:t>元。</w:t>
      </w:r>
    </w:p>
    <w:p>
      <w:pPr>
        <w:numPr>
          <w:ilvl w:val="1"/>
          <w:numId w:val="4"/>
        </w:numPr>
        <w:bidi w:val="0"/>
        <w:ind w:left="567" w:leftChars="0" w:hanging="567" w:firstLineChars="0"/>
      </w:pPr>
      <w:r>
        <w:rPr>
          <w:rFonts w:hint="eastAsia"/>
        </w:rPr>
        <w:t>一方未遵守合同约定构成违约的，应当向守约方支付违约金</w:t>
      </w:r>
      <w:r>
        <w:rPr>
          <w:rFonts w:hint="eastAsia"/>
          <w:u w:val="single"/>
        </w:rPr>
        <w:t xml:space="preserve">    </w:t>
      </w:r>
      <w:r>
        <w:rPr>
          <w:rFonts w:hint="eastAsia"/>
        </w:rPr>
        <w:t>元，并赔偿守约方因此产生的损失。</w:t>
      </w:r>
    </w:p>
    <w:p>
      <w:pPr>
        <w:numPr>
          <w:ilvl w:val="1"/>
          <w:numId w:val="4"/>
        </w:numPr>
        <w:bidi w:val="0"/>
        <w:ind w:left="567" w:leftChars="0" w:hanging="567" w:firstLineChars="0"/>
      </w:pPr>
      <w:r>
        <w:rPr>
          <w:rFonts w:hint="eastAsia"/>
        </w:rPr>
        <w:t xml:space="preserve">本合同不得转包，如有违反，甲方有权解除本合同，同时，乙方应向甲方承担合同总价款 </w:t>
      </w:r>
      <w:r>
        <w:rPr>
          <w:rFonts w:hint="eastAsia"/>
          <w:u w:val="single"/>
        </w:rPr>
        <w:t xml:space="preserve">   </w:t>
      </w:r>
      <w:r>
        <w:rPr>
          <w:rFonts w:hint="eastAsia"/>
        </w:rPr>
        <w:t>%的违约金，给甲方造成损失的，还应赔偿甲方一切经济损失。</w:t>
      </w:r>
    </w:p>
    <w:p>
      <w:pPr>
        <w:numPr>
          <w:ilvl w:val="1"/>
          <w:numId w:val="4"/>
        </w:numPr>
        <w:rPr>
          <w:color w:val="auto"/>
        </w:rPr>
      </w:pPr>
      <w:r>
        <w:rPr>
          <w:rFonts w:hint="eastAsia"/>
          <w:color w:val="auto"/>
        </w:rPr>
        <w:t>合同期满后，如果双方不继续合作，院方应确保届满前1个月通知维保方，维保方必须确保院方锅炉房水处理保养工作已有效开展后方可撤离，对延续期间产生的费用，院方按原合同服务费标准予以结算。</w:t>
      </w:r>
    </w:p>
    <w:p>
      <w:pPr>
        <w:numPr>
          <w:ilvl w:val="0"/>
          <w:numId w:val="4"/>
        </w:numPr>
        <w:bidi w:val="0"/>
        <w:ind w:left="425" w:leftChars="0" w:hanging="425" w:firstLineChars="0"/>
      </w:pPr>
      <w:r>
        <w:rPr>
          <w:rFonts w:hint="eastAsia"/>
          <w:lang w:val="en-US" w:eastAsia="zh-CN"/>
        </w:rPr>
        <w:t xml:space="preserve">  下</w:t>
      </w:r>
      <w:r>
        <w:rPr>
          <w:rFonts w:hint="eastAsia"/>
        </w:rPr>
        <w:t>列甲方采购文件、乙方响应文件，或与本次采购活动方式相适应的文件，以及有关附件是本合同不可分割的组成部分，与本合同具有同等法律效力，这些文件包括但不限于</w:t>
      </w:r>
      <w:r>
        <w:rPr>
          <w:rFonts w:hint="eastAsia"/>
          <w:lang w:eastAsia="zh-CN"/>
        </w:rPr>
        <w:t>：</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甲方的采购文件；</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乙方的响应文件；</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乙方的服务承诺；</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甲乙双方商定的其他文件等。</w:t>
      </w:r>
    </w:p>
    <w:p>
      <w:pPr>
        <w:numPr>
          <w:ilvl w:val="0"/>
          <w:numId w:val="4"/>
        </w:numPr>
        <w:bidi w:val="0"/>
        <w:ind w:left="425" w:leftChars="0" w:hanging="425" w:firstLineChars="0"/>
        <w:rPr>
          <w:rFonts w:hint="eastAsia"/>
        </w:rPr>
      </w:pPr>
      <w:r>
        <w:rPr>
          <w:rFonts w:hint="eastAsia"/>
        </w:rPr>
        <w:t>本合同一式  二  份，甲、乙双方各执一份，合同附件为本合同的组成部分，具有同等的法律效力。</w:t>
      </w:r>
    </w:p>
    <w:p>
      <w:pPr>
        <w:bidi w:val="0"/>
        <w:rPr>
          <w:rFonts w:hint="eastAsia"/>
        </w:rPr>
      </w:pPr>
    </w:p>
    <w:p>
      <w:pPr>
        <w:numPr>
          <w:ilvl w:val="0"/>
          <w:numId w:val="0"/>
        </w:numPr>
        <w:bidi w:val="0"/>
        <w:ind w:leftChars="0"/>
        <w:rPr>
          <w:rFonts w:hint="eastAsia"/>
        </w:rPr>
      </w:pPr>
      <w:r>
        <w:rPr>
          <w:rFonts w:hint="eastAsia"/>
        </w:rPr>
        <w:t>甲方（盖章）：                        乙方（盖章）：</w:t>
      </w:r>
    </w:p>
    <w:p>
      <w:pPr>
        <w:pStyle w:val="2"/>
        <w:rPr>
          <w:rFonts w:hint="eastAsia"/>
        </w:rPr>
      </w:pPr>
    </w:p>
    <w:p>
      <w:pPr>
        <w:pStyle w:val="2"/>
        <w:rPr>
          <w:rFonts w:hint="eastAsia"/>
        </w:rPr>
      </w:pPr>
    </w:p>
    <w:p>
      <w:pPr>
        <w:numPr>
          <w:ilvl w:val="0"/>
          <w:numId w:val="0"/>
        </w:numPr>
        <w:bidi w:val="0"/>
        <w:ind w:leftChars="0"/>
        <w:rPr>
          <w:rFonts w:hint="eastAsia"/>
        </w:rPr>
      </w:pPr>
      <w:r>
        <w:rPr>
          <w:rFonts w:hint="eastAsia"/>
        </w:rPr>
        <w:t>甲方代表（签字盖章）：                乙方代表（签字盖章）：</w:t>
      </w:r>
    </w:p>
    <w:p>
      <w:pPr>
        <w:pStyle w:val="2"/>
        <w:rPr>
          <w:rFonts w:hint="eastAsia"/>
        </w:rPr>
      </w:pPr>
    </w:p>
    <w:p>
      <w:pPr>
        <w:pStyle w:val="2"/>
        <w:rPr>
          <w:rFonts w:hint="eastAsia"/>
        </w:rPr>
      </w:pPr>
    </w:p>
    <w:p>
      <w:pPr>
        <w:numPr>
          <w:ilvl w:val="0"/>
          <w:numId w:val="0"/>
        </w:numPr>
        <w:bidi w:val="0"/>
        <w:ind w:leftChars="0"/>
        <w:rPr>
          <w:rFonts w:hint="eastAsia"/>
        </w:rPr>
        <w:sectPr>
          <w:pgSz w:w="11906" w:h="16838"/>
          <w:pgMar w:top="1440" w:right="1140" w:bottom="1440" w:left="1423" w:header="851" w:footer="992" w:gutter="0"/>
          <w:cols w:space="0" w:num="1"/>
          <w:rtlGutter w:val="0"/>
          <w:docGrid w:type="lines" w:linePitch="312" w:charSpace="0"/>
        </w:sectPr>
      </w:pPr>
      <w:r>
        <w:rPr>
          <w:rFonts w:hint="eastAsia"/>
        </w:rPr>
        <w:t>日     期：                           日    期：</w:t>
      </w:r>
    </w:p>
    <w:p>
      <w:pPr>
        <w:numPr>
          <w:ilvl w:val="0"/>
          <w:numId w:val="0"/>
        </w:numPr>
        <w:bidi w:val="0"/>
        <w:ind w:leftChars="0"/>
        <w:rPr>
          <w:rFonts w:hint="eastAsia"/>
        </w:rPr>
      </w:pPr>
    </w:p>
    <w:p>
      <w:pPr>
        <w:spacing w:line="30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合同附件</w:t>
      </w:r>
    </w:p>
    <w:p>
      <w:pPr>
        <w:spacing w:line="300" w:lineRule="auto"/>
        <w:jc w:val="center"/>
        <w:rPr>
          <w:rFonts w:hint="eastAsia" w:ascii="华文细黑" w:hAnsi="华文细黑" w:eastAsia="华文细黑" w:cs="华文细黑"/>
          <w:color w:val="FF0000"/>
          <w:sz w:val="28"/>
          <w:szCs w:val="28"/>
          <w:lang w:val="en-US" w:eastAsia="zh-CN"/>
        </w:rPr>
      </w:pPr>
      <w:r>
        <w:rPr>
          <w:rFonts w:hint="eastAsia" w:ascii="宋体" w:hAnsi="宋体" w:cs="宋体"/>
          <w:b/>
          <w:bCs/>
          <w:sz w:val="24"/>
          <w:szCs w:val="24"/>
          <w:lang w:val="en-US" w:eastAsia="zh-CN"/>
        </w:rPr>
        <w:t>锅炉水处理维保质量季度</w:t>
      </w:r>
      <w:r>
        <w:rPr>
          <w:rFonts w:hint="eastAsia" w:ascii="宋体" w:hAnsi="宋体" w:eastAsia="宋体" w:cs="宋体"/>
          <w:b/>
          <w:bCs/>
          <w:sz w:val="24"/>
          <w:szCs w:val="24"/>
          <w:lang w:val="en-US"/>
        </w:rPr>
        <w:t>考核表</w:t>
      </w:r>
    </w:p>
    <w:tbl>
      <w:tblPr>
        <w:tblStyle w:val="25"/>
        <w:tblpPr w:leftFromText="180" w:rightFromText="180" w:vertAnchor="text" w:horzAnchor="margin" w:tblpXSpec="center" w:tblpY="26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4161"/>
        <w:gridCol w:w="2229"/>
        <w:gridCol w:w="673"/>
        <w:gridCol w:w="673"/>
        <w:gridCol w:w="673"/>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70"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项目</w:t>
            </w:r>
          </w:p>
        </w:tc>
        <w:tc>
          <w:tcPr>
            <w:tcW w:w="4161"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考核内容</w:t>
            </w:r>
          </w:p>
        </w:tc>
        <w:tc>
          <w:tcPr>
            <w:tcW w:w="2229"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lang w:val="en-US" w:eastAsia="zh-CN"/>
              </w:rPr>
            </w:pPr>
            <w:r>
              <w:rPr>
                <w:rFonts w:hint="eastAsia" w:ascii="华文细黑" w:hAnsi="华文细黑" w:eastAsia="华文细黑" w:cs="华文细黑"/>
                <w:b/>
                <w:bCs/>
                <w:sz w:val="21"/>
                <w:szCs w:val="21"/>
              </w:rPr>
              <w:t>考核</w:t>
            </w:r>
            <w:r>
              <w:rPr>
                <w:rFonts w:hint="eastAsia" w:ascii="华文细黑" w:hAnsi="华文细黑" w:eastAsia="华文细黑" w:cs="华文细黑"/>
                <w:b/>
                <w:bCs/>
                <w:sz w:val="21"/>
                <w:szCs w:val="21"/>
                <w:lang w:val="en-US" w:eastAsia="zh-CN"/>
              </w:rPr>
              <w:t>标准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分值</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扣分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得分</w:t>
            </w:r>
          </w:p>
        </w:tc>
        <w:tc>
          <w:tcPr>
            <w:tcW w:w="676"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970" w:type="dxa"/>
            <w:vMerge w:val="restart"/>
            <w:tcBorders>
              <w:tl2br w:val="nil"/>
              <w:tr2bl w:val="nil"/>
            </w:tcBorders>
            <w:noWrap w:val="0"/>
            <w:vAlign w:val="center"/>
          </w:tcPr>
          <w:p>
            <w:pPr>
              <w:spacing w:line="300" w:lineRule="auto"/>
              <w:rPr>
                <w:rFonts w:hint="eastAsia" w:ascii="华文细黑" w:hAnsi="华文细黑" w:eastAsia="华文细黑" w:cs="华文细黑"/>
                <w:b/>
                <w:bCs/>
                <w:sz w:val="18"/>
                <w:szCs w:val="18"/>
                <w:lang w:val="en-US" w:eastAsia="zh-CN"/>
              </w:rPr>
            </w:pPr>
            <w:r>
              <w:rPr>
                <w:rFonts w:hint="eastAsia" w:ascii="华文细黑" w:hAnsi="华文细黑" w:eastAsia="华文细黑" w:cs="华文细黑"/>
                <w:b/>
                <w:bCs/>
                <w:sz w:val="18"/>
                <w:szCs w:val="18"/>
                <w:lang w:val="en-US" w:eastAsia="zh-CN"/>
              </w:rPr>
              <w:t>服务规范</w:t>
            </w:r>
          </w:p>
          <w:p>
            <w:pPr>
              <w:spacing w:line="300" w:lineRule="auto"/>
              <w:rPr>
                <w:rFonts w:hint="eastAsia" w:ascii="华文细黑" w:hAnsi="华文细黑" w:eastAsia="华文细黑" w:cs="华文细黑"/>
                <w:b/>
                <w:bCs/>
                <w:sz w:val="15"/>
                <w:szCs w:val="15"/>
                <w:lang w:val="en-US" w:eastAsia="zh-CN"/>
              </w:rPr>
            </w:pPr>
            <w:r>
              <w:rPr>
                <w:rFonts w:hint="eastAsia" w:ascii="华文细黑" w:hAnsi="华文细黑" w:eastAsia="华文细黑" w:cs="华文细黑"/>
                <w:b/>
                <w:bCs/>
                <w:sz w:val="18"/>
                <w:szCs w:val="18"/>
                <w:lang w:val="en-US" w:eastAsia="zh-CN"/>
              </w:rPr>
              <w:t>（40）</w:t>
            </w:r>
          </w:p>
        </w:tc>
        <w:tc>
          <w:tcPr>
            <w:tcW w:w="4161" w:type="dxa"/>
            <w:tcBorders>
              <w:tl2br w:val="nil"/>
              <w:tr2bl w:val="nil"/>
            </w:tcBorders>
            <w:noWrap w:val="0"/>
            <w:vAlign w:val="center"/>
          </w:tcPr>
          <w:p>
            <w:pPr>
              <w:snapToGrid w:val="0"/>
              <w:spacing w:line="300" w:lineRule="auto"/>
              <w:jc w:val="both"/>
              <w:rPr>
                <w:rFonts w:hint="default"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pPr>
            <w:r>
              <w:rPr>
                <w:rFonts w:hint="eastAsia"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t xml:space="preserve"> 是否携带必要的维保工具</w:t>
            </w:r>
          </w:p>
        </w:tc>
        <w:tc>
          <w:tcPr>
            <w:tcW w:w="2229" w:type="dxa"/>
            <w:tcBorders>
              <w:tl2br w:val="nil"/>
              <w:tr2bl w:val="nil"/>
            </w:tcBorders>
            <w:noWrap w:val="0"/>
            <w:vAlign w:val="center"/>
          </w:tcPr>
          <w:p>
            <w:pPr>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lang w:val="en-US" w:eastAsia="zh-CN"/>
              </w:rPr>
            </w:pPr>
          </w:p>
        </w:tc>
        <w:tc>
          <w:tcPr>
            <w:tcW w:w="4161" w:type="dxa"/>
            <w:tcBorders>
              <w:tl2br w:val="nil"/>
              <w:tr2bl w:val="nil"/>
            </w:tcBorders>
            <w:noWrap w:val="0"/>
            <w:vAlign w:val="center"/>
          </w:tcPr>
          <w:p>
            <w:pPr>
              <w:snapToGrid w:val="0"/>
              <w:spacing w:line="300" w:lineRule="auto"/>
              <w:jc w:val="both"/>
              <w:rPr>
                <w:rFonts w:hint="eastAsia" w:ascii="华文细黑" w:hAnsi="华文细黑" w:eastAsia="华文细黑" w:cs="华文细黑"/>
                <w:color w:val="000000" w:themeColor="text1"/>
                <w:sz w:val="18"/>
                <w:szCs w:val="18"/>
                <w:lang w:eastAsia="zh-CN"/>
                <w14:textFill>
                  <w14:solidFill>
                    <w14:schemeClr w14:val="tx1"/>
                  </w14:solidFill>
                </w14:textFill>
              </w:rPr>
            </w:pPr>
            <w:r>
              <w:rPr>
                <w:rFonts w:hint="eastAsia" w:ascii="华文细黑" w:hAnsi="华文细黑" w:eastAsia="华文细黑" w:cs="华文细黑"/>
                <w:color w:val="auto"/>
                <w:position w:val="2"/>
                <w:sz w:val="18"/>
                <w:szCs w:val="18"/>
                <w:u w:val="none" w:color="FFFFFF"/>
                <w:lang w:val="en-US" w:eastAsia="zh-CN"/>
              </w:rPr>
              <w:t>每次到场维保向院</w:t>
            </w:r>
            <w:r>
              <w:rPr>
                <w:rFonts w:hint="eastAsia" w:ascii="华文细黑" w:hAnsi="华文细黑" w:eastAsia="华文细黑" w:cs="华文细黑"/>
                <w:color w:val="auto"/>
                <w:position w:val="2"/>
                <w:sz w:val="18"/>
                <w:szCs w:val="18"/>
                <w:u w:val="none" w:color="FFFFFF"/>
                <w:lang w:eastAsia="zh-CN"/>
              </w:rPr>
              <w:t>方</w:t>
            </w:r>
            <w:r>
              <w:rPr>
                <w:rFonts w:hint="eastAsia" w:ascii="华文细黑" w:hAnsi="华文细黑" w:eastAsia="华文细黑" w:cs="华文细黑"/>
                <w:color w:val="auto"/>
                <w:position w:val="2"/>
                <w:sz w:val="18"/>
                <w:szCs w:val="18"/>
                <w:u w:val="none" w:color="FFFFFF"/>
                <w:lang w:val="en-US" w:eastAsia="zh-CN"/>
              </w:rPr>
              <w:t>报备</w:t>
            </w:r>
            <w:r>
              <w:rPr>
                <w:rFonts w:hint="eastAsia" w:ascii="华文细黑" w:hAnsi="华文细黑" w:eastAsia="华文细黑" w:cs="华文细黑"/>
                <w:color w:val="auto"/>
                <w:position w:val="2"/>
                <w:sz w:val="18"/>
                <w:szCs w:val="18"/>
                <w:u w:val="none" w:color="FFFFFF"/>
                <w:lang w:eastAsia="zh-CN"/>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op w:val="single" w:color="auto" w:sz="2" w:space="0"/>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严禁</w:t>
            </w:r>
            <w:r>
              <w:rPr>
                <w:rFonts w:hint="eastAsia" w:ascii="华文细黑" w:hAnsi="华文细黑" w:eastAsia="华文细黑" w:cs="华文细黑"/>
                <w:color w:val="000000" w:themeColor="text1"/>
                <w:sz w:val="18"/>
                <w:szCs w:val="18"/>
                <w:lang w:val="en-US"/>
                <w14:textFill>
                  <w14:solidFill>
                    <w14:schemeClr w14:val="tx1"/>
                  </w14:solidFill>
                </w14:textFill>
              </w:rPr>
              <w:t>私自传播</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院方相关资料</w:t>
            </w:r>
            <w:r>
              <w:rPr>
                <w:rFonts w:hint="eastAsia" w:ascii="华文细黑" w:hAnsi="华文细黑" w:eastAsia="华文细黑" w:cs="华文细黑"/>
                <w:color w:val="000000" w:themeColor="text1"/>
                <w:sz w:val="18"/>
                <w:szCs w:val="18"/>
                <w:lang w:val="en-US"/>
                <w14:textFill>
                  <w14:solidFill>
                    <w14:schemeClr w14:val="tx1"/>
                  </w14:solidFill>
                </w14:textFill>
              </w:rPr>
              <w:t>，制作、复制、传播损害国家、单位或他人荣誉和利益的信息</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不得损坏院方</w:t>
            </w:r>
            <w:r>
              <w:rPr>
                <w:rFonts w:hint="eastAsia" w:ascii="华文细黑" w:hAnsi="华文细黑" w:eastAsia="华文细黑" w:cs="华文细黑"/>
                <w:color w:val="000000" w:themeColor="text1"/>
                <w:sz w:val="18"/>
                <w:szCs w:val="18"/>
                <w:lang w:val="en-US"/>
                <w14:textFill>
                  <w14:solidFill>
                    <w14:schemeClr w14:val="tx1"/>
                  </w14:solidFill>
                </w14:textFill>
              </w:rPr>
              <w:t>财物</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970" w:type="dxa"/>
            <w:vMerge w:val="restart"/>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eastAsia="zh-CN"/>
              </w:rPr>
              <w:t>服务</w:t>
            </w:r>
            <w:r>
              <w:rPr>
                <w:rFonts w:hint="eastAsia" w:ascii="华文细黑" w:hAnsi="华文细黑" w:eastAsia="华文细黑" w:cs="华文细黑"/>
                <w:b/>
                <w:bCs/>
                <w:sz w:val="18"/>
                <w:szCs w:val="18"/>
                <w:lang w:val="en-US"/>
              </w:rPr>
              <w:t>质量</w:t>
            </w:r>
          </w:p>
          <w:p>
            <w:pPr>
              <w:spacing w:line="300" w:lineRule="auto"/>
              <w:jc w:val="center"/>
              <w:rPr>
                <w:rFonts w:hint="eastAsia" w:ascii="华文细黑" w:hAnsi="华文细黑" w:eastAsia="华文细黑" w:cs="华文细黑"/>
                <w:b/>
                <w:bCs/>
                <w:sz w:val="18"/>
                <w:szCs w:val="18"/>
              </w:rPr>
            </w:pPr>
            <w:r>
              <w:rPr>
                <w:rFonts w:hint="eastAsia" w:ascii="华文细黑" w:hAnsi="华文细黑" w:eastAsia="华文细黑" w:cs="华文细黑"/>
                <w:b/>
                <w:bCs/>
                <w:sz w:val="18"/>
                <w:szCs w:val="18"/>
                <w:lang w:val="en-US"/>
              </w:rPr>
              <w:t>(</w:t>
            </w:r>
            <w:r>
              <w:rPr>
                <w:rFonts w:hint="eastAsia" w:ascii="华文细黑" w:hAnsi="华文细黑" w:eastAsia="华文细黑" w:cs="华文细黑"/>
                <w:b/>
                <w:bCs/>
                <w:sz w:val="18"/>
                <w:szCs w:val="18"/>
                <w:lang w:val="en-US" w:eastAsia="zh-CN"/>
              </w:rPr>
              <w:t>60</w:t>
            </w:r>
            <w:r>
              <w:rPr>
                <w:rFonts w:hint="eastAsia" w:ascii="华文细黑" w:hAnsi="华文细黑" w:eastAsia="华文细黑" w:cs="华文细黑"/>
                <w:b/>
                <w:bCs/>
                <w:sz w:val="18"/>
                <w:szCs w:val="18"/>
                <w:lang w:val="en-US"/>
              </w:rPr>
              <w:t>分)</w:t>
            </w:r>
          </w:p>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sz w:val="18"/>
                <w:szCs w:val="18"/>
                <w:lang w:val="en-US" w:eastAsia="zh-CN"/>
              </w:rPr>
              <w:t>每季对水处理设备巡检1次。</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auto"/>
                <w:sz w:val="18"/>
                <w:szCs w:val="18"/>
                <w:lang w:val="en-US" w:eastAsia="zh-CN"/>
              </w:rPr>
              <w:t>巡检过程中，发现异常及隐患应及时通知院方</w:t>
            </w:r>
            <w:r>
              <w:rPr>
                <w:rFonts w:hint="eastAsia" w:ascii="华文细黑" w:hAnsi="华文细黑" w:eastAsia="华文细黑" w:cs="华文细黑"/>
                <w:sz w:val="18"/>
                <w:szCs w:val="18"/>
                <w:lang w:val="en-US" w:eastAsia="zh-CN"/>
              </w:rPr>
              <w:t>。</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pageBreakBefore w:val="0"/>
              <w:widowControl w:val="0"/>
              <w:kinsoku/>
              <w:wordWrap/>
              <w:overflowPunct/>
              <w:topLinePunct w:val="0"/>
              <w:autoSpaceDE/>
              <w:autoSpaceDN/>
              <w:bidi w:val="0"/>
              <w:adjustRightInd/>
              <w:snapToGrid/>
              <w:spacing w:line="360" w:lineRule="exact"/>
              <w:textAlignment w:val="auto"/>
              <w:rPr>
                <w:rFonts w:hint="eastAsia"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接到故障报修，4小时内维保人员到场，故障未排除前或未能有效开展应急供水前不得离开医院。</w:t>
            </w:r>
          </w:p>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p>
        </w:tc>
        <w:tc>
          <w:tcPr>
            <w:tcW w:w="2229"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20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每次维保后及时清理垃圾，确保现场干净整洁。</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按要求填写维保单，字迹清晰可辨，并交于院方。</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60" w:type="dxa"/>
            <w:gridSpan w:val="3"/>
            <w:tcBorders>
              <w:tl2br w:val="nil"/>
              <w:tr2bl w:val="nil"/>
            </w:tcBorders>
            <w:noWrap w:val="0"/>
            <w:vAlign w:val="center"/>
          </w:tcPr>
          <w:p>
            <w:pPr>
              <w:spacing w:line="300" w:lineRule="auto"/>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14:textFill>
                  <w14:solidFill>
                    <w14:schemeClr w14:val="tx1"/>
                  </w14:solidFill>
                </w14:textFill>
              </w:rPr>
              <w:t>合计</w:t>
            </w:r>
          </w:p>
        </w:tc>
        <w:tc>
          <w:tcPr>
            <w:tcW w:w="673" w:type="dxa"/>
            <w:tcBorders>
              <w:tl2br w:val="nil"/>
              <w:tr2bl w:val="nil"/>
            </w:tcBorders>
            <w:noWrap w:val="0"/>
            <w:vAlign w:val="center"/>
          </w:tcPr>
          <w:p>
            <w:pPr>
              <w:widowControl/>
              <w:autoSpaceDE/>
              <w:autoSpaceDN/>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lang w:val="en-US"/>
                <w14:textFill>
                  <w14:solidFill>
                    <w14:schemeClr w14:val="tx1"/>
                  </w14:solidFill>
                </w14:textFill>
              </w:rPr>
              <w:t>100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bl>
    <w:p>
      <w:pPr>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default" w:ascii="宋体" w:hAnsi="宋体" w:cs="宋体"/>
          <w:color w:val="auto"/>
          <w:sz w:val="28"/>
          <w:szCs w:val="28"/>
          <w:lang w:val="en-US" w:eastAsia="zh-CN"/>
        </w:rPr>
      </w:pPr>
    </w:p>
    <w:p>
      <w:pPr>
        <w:pStyle w:val="29"/>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val="0"/>
          <w:bCs w:val="0"/>
          <w:sz w:val="24"/>
          <w:szCs w:val="24"/>
          <w:lang w:val="en-US" w:eastAsia="zh-CN"/>
        </w:rPr>
        <w:t xml:space="preserve">   </w:t>
      </w:r>
      <w:r>
        <w:rPr>
          <w:rFonts w:hint="eastAsia" w:ascii="宋体" w:hAnsi="宋体" w:cs="宋体"/>
          <w:b w:val="0"/>
          <w:bCs w:val="0"/>
          <w:sz w:val="21"/>
          <w:szCs w:val="21"/>
          <w:lang w:val="en-US" w:eastAsia="zh-CN"/>
        </w:rPr>
        <w:t>考核人：</w:t>
      </w:r>
    </w:p>
    <w:p>
      <w:pPr>
        <w:pStyle w:val="29"/>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                                          </w:t>
      </w:r>
    </w:p>
    <w:p>
      <w:pPr>
        <w:pStyle w:val="29"/>
        <w:ind w:firstLine="6090" w:firstLineChars="2900"/>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考核日期：</w:t>
      </w:r>
    </w:p>
    <w:p>
      <w:pPr>
        <w:pStyle w:val="29"/>
        <w:ind w:left="0" w:leftChars="0" w:firstLine="0" w:firstLineChars="0"/>
        <w:rPr>
          <w:rFonts w:hint="eastAsia" w:ascii="宋体" w:hAnsi="宋体" w:cs="宋体"/>
          <w:b w:val="0"/>
          <w:bCs w:val="0"/>
          <w:sz w:val="21"/>
          <w:szCs w:val="21"/>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p>
    <w:p>
      <w:pPr>
        <w:rPr>
          <w:rFonts w:hint="eastAsia" w:ascii="黑体" w:hAnsi="黑体" w:eastAsia="黑体" w:cs="黑体"/>
          <w:sz w:val="30"/>
          <w:szCs w:val="30"/>
        </w:rPr>
      </w:pPr>
      <w:r>
        <w:rPr>
          <w:rFonts w:hint="eastAsia" w:ascii="黑体" w:hAnsi="黑体" w:eastAsia="黑体" w:cs="黑体"/>
          <w:sz w:val="30"/>
          <w:szCs w:val="30"/>
        </w:rPr>
        <w:br w:type="page"/>
      </w:r>
    </w:p>
    <w:p>
      <w:pPr>
        <w:bidi w:val="0"/>
        <w:jc w:val="center"/>
        <w:rPr>
          <w:rFonts w:hint="eastAsia" w:ascii="黑体" w:hAnsi="黑体" w:eastAsia="黑体" w:cs="黑体"/>
          <w:sz w:val="30"/>
          <w:szCs w:val="30"/>
        </w:rPr>
      </w:pPr>
      <w:r>
        <w:rPr>
          <w:rFonts w:hint="eastAsia" w:ascii="黑体" w:hAnsi="黑体" w:eastAsia="黑体" w:cs="黑体"/>
          <w:sz w:val="30"/>
          <w:szCs w:val="30"/>
        </w:rPr>
        <w:t xml:space="preserve">第二部分 </w:t>
      </w:r>
      <w:r>
        <w:rPr>
          <w:rFonts w:hint="eastAsia" w:ascii="黑体" w:hAnsi="黑体" w:eastAsia="黑体" w:cs="黑体"/>
          <w:sz w:val="30"/>
          <w:szCs w:val="30"/>
          <w:lang w:val="en-US" w:eastAsia="zh-CN"/>
        </w:rPr>
        <w:t>比选</w:t>
      </w:r>
      <w:r>
        <w:rPr>
          <w:rFonts w:hint="eastAsia" w:ascii="黑体" w:hAnsi="黑体" w:eastAsia="黑体" w:cs="黑体"/>
          <w:sz w:val="30"/>
          <w:szCs w:val="30"/>
        </w:rPr>
        <w:t>响应文件（格式如下）</w:t>
      </w:r>
      <w:bookmarkEnd w:id="17"/>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lang w:val="en-US" w:eastAsia="zh-CN"/>
        </w:rPr>
      </w:pPr>
      <w:bookmarkStart w:id="19" w:name="_Toc16822"/>
      <w:bookmarkStart w:id="20" w:name="_Toc12859"/>
      <w:r>
        <w:rPr>
          <w:rFonts w:hint="eastAsia" w:ascii="黑体" w:hAnsi="黑体" w:eastAsia="黑体" w:cs="黑体"/>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bookmarkEnd w:id="19"/>
      <w:bookmarkEnd w:id="20"/>
      <w:r>
        <w:rPr>
          <w:rFonts w:hint="eastAsia" w:ascii="黑体" w:hAnsi="黑体" w:eastAsia="黑体" w:cs="黑体"/>
          <w:sz w:val="30"/>
          <w:szCs w:val="30"/>
          <w:lang w:eastAsia="zh-CN"/>
        </w:rPr>
        <w:t>丹阳市人民医院锅炉房水处理维保单位项目</w:t>
      </w:r>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1" w:name="_Toc22247"/>
      <w:bookmarkStart w:id="22" w:name="_Toc24315"/>
      <w:r>
        <w:rPr>
          <w:rFonts w:hint="eastAsia" w:ascii="黑体" w:hAnsi="黑体" w:eastAsia="黑体" w:cs="黑体"/>
          <w:sz w:val="30"/>
          <w:szCs w:val="30"/>
        </w:rPr>
        <w:t>（</w:t>
      </w:r>
      <w:r>
        <w:rPr>
          <w:rFonts w:hint="eastAsia" w:ascii="黑体" w:hAnsi="黑体" w:eastAsia="黑体" w:cs="黑体"/>
          <w:sz w:val="30"/>
          <w:szCs w:val="30"/>
          <w:lang w:val="en-US" w:eastAsia="zh-CN"/>
        </w:rPr>
        <w:t>项目</w:t>
      </w:r>
      <w:r>
        <w:rPr>
          <w:rFonts w:hint="eastAsia" w:ascii="黑体" w:hAnsi="黑体" w:eastAsia="黑体" w:cs="黑体"/>
          <w:sz w:val="30"/>
          <w:szCs w:val="30"/>
        </w:rPr>
        <w:t xml:space="preserve">编号：   </w:t>
      </w:r>
      <w:r>
        <w:rPr>
          <w:rFonts w:hint="eastAsia" w:ascii="黑体" w:hAnsi="黑体" w:eastAsia="黑体" w:cs="黑体"/>
          <w:sz w:val="30"/>
          <w:szCs w:val="30"/>
          <w:lang w:eastAsia="zh-CN"/>
        </w:rPr>
        <w:t>DRY-CG-20240</w:t>
      </w:r>
      <w:r>
        <w:rPr>
          <w:rFonts w:hint="eastAsia" w:ascii="黑体" w:hAnsi="黑体" w:eastAsia="黑体" w:cs="黑体"/>
          <w:sz w:val="30"/>
          <w:szCs w:val="30"/>
          <w:lang w:val="en-US" w:eastAsia="zh-CN"/>
        </w:rPr>
        <w:t xml:space="preserve">26 </w:t>
      </w:r>
      <w:r>
        <w:rPr>
          <w:rFonts w:hint="eastAsia" w:ascii="黑体" w:hAnsi="黑体" w:eastAsia="黑体" w:cs="黑体"/>
          <w:sz w:val="30"/>
          <w:szCs w:val="30"/>
        </w:rPr>
        <w:t>）</w:t>
      </w:r>
      <w:bookmarkEnd w:id="21"/>
      <w:bookmarkEnd w:id="22"/>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3" w:name="_Toc14491"/>
      <w:bookmarkStart w:id="24" w:name="_Toc29846"/>
      <w:r>
        <w:rPr>
          <w:rFonts w:hint="eastAsia" w:ascii="黑体" w:hAnsi="黑体" w:eastAsia="黑体" w:cs="黑体"/>
          <w:sz w:val="30"/>
          <w:szCs w:val="30"/>
        </w:rPr>
        <w:t>投 标 人（盖章）：</w:t>
      </w:r>
      <w:bookmarkEnd w:id="23"/>
      <w:bookmarkEnd w:id="24"/>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5" w:name="_Toc6581"/>
      <w:bookmarkStart w:id="26" w:name="_Toc27992"/>
      <w:r>
        <w:rPr>
          <w:rFonts w:hint="eastAsia" w:ascii="黑体" w:hAnsi="黑体" w:eastAsia="黑体" w:cs="黑体"/>
          <w:sz w:val="30"/>
          <w:szCs w:val="30"/>
        </w:rPr>
        <w:t>日    期：</w:t>
      </w:r>
      <w:bookmarkEnd w:id="25"/>
      <w:bookmarkEnd w:id="26"/>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p>
    <w:p>
      <w:pPr>
        <w:pStyle w:val="29"/>
        <w:ind w:firstLine="562"/>
        <w:rPr>
          <w:rFonts w:ascii="宋体" w:hAnsi="宋体"/>
          <w:b/>
          <w:sz w:val="28"/>
          <w:szCs w:val="28"/>
        </w:rPr>
      </w:pPr>
    </w:p>
    <w:p>
      <w:pPr>
        <w:pStyle w:val="3"/>
        <w:numPr>
          <w:ilvl w:val="0"/>
          <w:numId w:val="0"/>
        </w:numPr>
        <w:spacing w:before="120" w:after="120"/>
        <w:jc w:val="both"/>
        <w:outlineLvl w:val="9"/>
        <w:rPr>
          <w:rFonts w:hint="default" w:cs="宋体"/>
          <w:sz w:val="32"/>
          <w:szCs w:val="32"/>
        </w:rPr>
      </w:pPr>
      <w:bookmarkStart w:id="27" w:name="_Toc9147"/>
    </w:p>
    <w:p/>
    <w:p>
      <w:pPr>
        <w:pStyle w:val="3"/>
        <w:numPr>
          <w:ilvl w:val="0"/>
          <w:numId w:val="0"/>
        </w:numPr>
        <w:spacing w:before="120" w:after="120"/>
        <w:jc w:val="both"/>
        <w:outlineLvl w:val="9"/>
        <w:rPr>
          <w:rFonts w:hint="default" w:cs="宋体"/>
          <w:sz w:val="32"/>
          <w:szCs w:val="32"/>
        </w:rPr>
      </w:pPr>
    </w:p>
    <w:p>
      <w:pPr>
        <w:rPr>
          <w:rFonts w:cs="宋体"/>
          <w:sz w:val="32"/>
          <w:szCs w:val="32"/>
        </w:rPr>
      </w:pPr>
      <w:r>
        <w:rPr>
          <w:rFonts w:cs="宋体"/>
          <w:sz w:val="32"/>
          <w:szCs w:val="32"/>
        </w:rPr>
        <w:br w:type="page"/>
      </w:r>
    </w:p>
    <w:p>
      <w:pPr>
        <w:bidi w:val="0"/>
        <w:jc w:val="center"/>
        <w:rPr>
          <w:b/>
          <w:bCs/>
          <w:sz w:val="30"/>
          <w:szCs w:val="30"/>
        </w:rPr>
      </w:pPr>
      <w:bookmarkStart w:id="28" w:name="_Toc22545"/>
      <w:bookmarkStart w:id="29" w:name="_Toc554"/>
      <w:r>
        <w:rPr>
          <w:rFonts w:hint="eastAsia"/>
          <w:b/>
          <w:bCs/>
          <w:sz w:val="30"/>
          <w:szCs w:val="30"/>
          <w:lang w:val="en-US" w:eastAsia="zh-CN"/>
        </w:rPr>
        <w:t>比选</w:t>
      </w:r>
      <w:r>
        <w:rPr>
          <w:b/>
          <w:bCs/>
          <w:sz w:val="30"/>
          <w:szCs w:val="30"/>
        </w:rPr>
        <w:t>投标文件目录</w:t>
      </w:r>
      <w:bookmarkEnd w:id="28"/>
      <w:bookmarkEnd w:id="29"/>
    </w:p>
    <w:p>
      <w:pPr>
        <w:numPr>
          <w:ilvl w:val="0"/>
          <w:numId w:val="6"/>
        </w:numPr>
        <w:spacing w:line="360" w:lineRule="auto"/>
        <w:ind w:left="0" w:leftChars="0" w:firstLine="420" w:firstLineChars="0"/>
        <w:rPr>
          <w:rFonts w:eastAsia="宋体"/>
          <w:sz w:val="28"/>
          <w:szCs w:val="28"/>
        </w:rPr>
      </w:pPr>
      <w:r>
        <w:rPr>
          <w:rFonts w:eastAsia="宋体"/>
          <w:sz w:val="28"/>
          <w:szCs w:val="28"/>
        </w:rPr>
        <w:t>投标函</w:t>
      </w:r>
    </w:p>
    <w:p>
      <w:pPr>
        <w:numPr>
          <w:ilvl w:val="0"/>
          <w:numId w:val="6"/>
        </w:numPr>
        <w:spacing w:line="360" w:lineRule="auto"/>
        <w:ind w:left="0" w:leftChars="0" w:firstLine="420" w:firstLineChars="0"/>
        <w:rPr>
          <w:rFonts w:eastAsia="宋体"/>
          <w:sz w:val="28"/>
          <w:szCs w:val="28"/>
        </w:rPr>
      </w:pPr>
      <w:r>
        <w:rPr>
          <w:rFonts w:hint="eastAsia"/>
          <w:sz w:val="28"/>
          <w:szCs w:val="28"/>
          <w:lang w:val="en-US" w:eastAsia="zh-CN"/>
        </w:rPr>
        <w:t>比选</w:t>
      </w:r>
      <w:r>
        <w:rPr>
          <w:rFonts w:hint="eastAsia" w:eastAsia="宋体"/>
          <w:sz w:val="28"/>
          <w:szCs w:val="28"/>
        </w:rPr>
        <w:t>响应报价表</w:t>
      </w:r>
    </w:p>
    <w:p>
      <w:pPr>
        <w:numPr>
          <w:ilvl w:val="0"/>
          <w:numId w:val="6"/>
        </w:numPr>
        <w:spacing w:line="360" w:lineRule="auto"/>
        <w:ind w:left="0" w:leftChars="0" w:firstLine="420" w:firstLineChars="0"/>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pPr>
        <w:numPr>
          <w:ilvl w:val="0"/>
          <w:numId w:val="6"/>
        </w:numPr>
        <w:spacing w:line="360" w:lineRule="auto"/>
        <w:ind w:left="0" w:leftChars="0" w:firstLine="420" w:firstLineChars="0"/>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pPr>
        <w:numPr>
          <w:ilvl w:val="0"/>
          <w:numId w:val="6"/>
        </w:numPr>
        <w:spacing w:line="360" w:lineRule="auto"/>
        <w:ind w:left="0" w:leftChars="0" w:firstLine="420" w:firstLineChars="0"/>
        <w:rPr>
          <w:rFonts w:eastAsia="宋体"/>
          <w:sz w:val="28"/>
          <w:szCs w:val="28"/>
        </w:rPr>
      </w:pPr>
      <w:r>
        <w:rPr>
          <w:rFonts w:hint="eastAsia" w:eastAsia="宋体"/>
          <w:sz w:val="28"/>
          <w:szCs w:val="28"/>
        </w:rPr>
        <w:t>资格审查资料</w:t>
      </w:r>
    </w:p>
    <w:p>
      <w:pPr>
        <w:numPr>
          <w:ilvl w:val="0"/>
          <w:numId w:val="6"/>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技术要求偏离表</w:t>
      </w:r>
    </w:p>
    <w:p>
      <w:pPr>
        <w:pStyle w:val="2"/>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能力评价</w:t>
      </w:r>
      <w:r>
        <w:rPr>
          <w:rFonts w:hint="eastAsia" w:asciiTheme="minorAscii" w:hAnsiTheme="minorAscii" w:cstheme="minorBidi"/>
          <w:kern w:val="2"/>
          <w:sz w:val="28"/>
          <w:szCs w:val="28"/>
          <w:lang w:val="en-US" w:eastAsia="zh-CN" w:bidi="ar-SA"/>
        </w:rPr>
        <w:t>材料</w:t>
      </w:r>
    </w:p>
    <w:p>
      <w:pPr>
        <w:pStyle w:val="2"/>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经验评价</w:t>
      </w:r>
      <w:r>
        <w:rPr>
          <w:rFonts w:hint="eastAsia" w:asciiTheme="minorAscii" w:hAnsiTheme="minorAscii" w:cstheme="minorBidi"/>
          <w:kern w:val="2"/>
          <w:sz w:val="28"/>
          <w:szCs w:val="28"/>
          <w:lang w:val="en-US" w:eastAsia="zh-CN" w:bidi="ar-SA"/>
        </w:rPr>
        <w:t>材料</w:t>
      </w:r>
    </w:p>
    <w:p>
      <w:pPr>
        <w:pStyle w:val="2"/>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项目实施方案评价</w:t>
      </w:r>
      <w:r>
        <w:rPr>
          <w:rFonts w:hint="eastAsia" w:asciiTheme="minorAscii" w:hAnsiTheme="minorAscii" w:cstheme="minorBidi"/>
          <w:kern w:val="2"/>
          <w:sz w:val="28"/>
          <w:szCs w:val="28"/>
          <w:lang w:val="en-US" w:eastAsia="zh-CN" w:bidi="ar-SA"/>
        </w:rPr>
        <w:t>材料</w:t>
      </w:r>
    </w:p>
    <w:p>
      <w:pPr>
        <w:numPr>
          <w:ilvl w:val="0"/>
          <w:numId w:val="0"/>
        </w:numPr>
        <w:spacing w:line="360" w:lineRule="auto"/>
        <w:ind w:left="420" w:leftChars="0"/>
        <w:rPr>
          <w:rFonts w:hint="eastAsia" w:eastAsia="宋体"/>
          <w:sz w:val="28"/>
          <w:szCs w:val="28"/>
          <w:lang w:val="en-US" w:eastAsia="zh-CN"/>
        </w:rPr>
      </w:pPr>
    </w:p>
    <w:p>
      <w:pPr>
        <w:rPr>
          <w:rFonts w:hint="eastAsia" w:eastAsia="宋体" w:asciiTheme="minorAscii" w:hAnsiTheme="minorAscii" w:cstheme="minorBidi"/>
          <w:b w:val="0"/>
          <w:kern w:val="2"/>
          <w:sz w:val="28"/>
          <w:szCs w:val="28"/>
          <w:lang w:val="en-US" w:eastAsia="zh-CN" w:bidi="ar-SA"/>
        </w:rPr>
      </w:pPr>
      <w:r>
        <w:rPr>
          <w:rFonts w:hint="eastAsia" w:eastAsia="宋体" w:asciiTheme="minorAscii" w:hAnsiTheme="minorAscii" w:cstheme="minorBidi"/>
          <w:b w:val="0"/>
          <w:kern w:val="2"/>
          <w:sz w:val="28"/>
          <w:szCs w:val="28"/>
          <w:lang w:val="en-US" w:eastAsia="zh-CN" w:bidi="ar-SA"/>
        </w:rPr>
        <w:br w:type="page"/>
      </w:r>
    </w:p>
    <w:p>
      <w:pPr>
        <w:rPr>
          <w:rFonts w:hint="eastAsia"/>
          <w:lang w:val="en-US" w:eastAsia="zh-CN"/>
        </w:rPr>
      </w:pPr>
    </w:p>
    <w:p>
      <w:pPr>
        <w:pStyle w:val="4"/>
        <w:numPr>
          <w:ilvl w:val="0"/>
          <w:numId w:val="7"/>
        </w:numPr>
        <w:bidi w:val="0"/>
        <w:ind w:left="0" w:leftChars="0" w:firstLine="0" w:firstLineChars="0"/>
        <w:outlineLvl w:val="1"/>
        <w:rPr>
          <w:rFonts w:hint="eastAsia"/>
        </w:rPr>
      </w:pPr>
      <w:bookmarkStart w:id="30" w:name="_Toc29490"/>
      <w:r>
        <w:rPr>
          <w:rFonts w:hint="eastAsia"/>
        </w:rPr>
        <w:t>投 标 函</w:t>
      </w:r>
      <w:bookmarkEnd w:id="27"/>
      <w:bookmarkEnd w:id="30"/>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丹阳市人民医院: </w:t>
      </w:r>
    </w:p>
    <w:p>
      <w:pPr>
        <w:numPr>
          <w:ilvl w:val="0"/>
          <w:numId w:val="8"/>
        </w:numPr>
        <w:bidi w:val="0"/>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我方己仔细研究了</w:t>
      </w:r>
      <w:r>
        <w:rPr>
          <w:rFonts w:hint="eastAsia" w:ascii="宋体" w:hAnsi="宋体" w:cs="宋体"/>
          <w:sz w:val="28"/>
          <w:szCs w:val="28"/>
          <w:lang w:val="en-US" w:eastAsia="zh-CN"/>
        </w:rPr>
        <w:t>丹阳市人民医院锅炉房水处理维保</w:t>
      </w:r>
      <w:r>
        <w:rPr>
          <w:rFonts w:hint="eastAsia" w:ascii="宋体" w:hAnsi="宋体" w:eastAsia="宋体" w:cs="宋体"/>
          <w:sz w:val="28"/>
          <w:szCs w:val="28"/>
          <w:lang w:val="en-US" w:eastAsia="zh-CN"/>
        </w:rPr>
        <w:t>采购文件的全部内容，愿意以人民币</w:t>
      </w:r>
      <w:r>
        <w:rPr>
          <w:rFonts w:hint="eastAsia" w:ascii="宋体" w:hAnsi="宋体" w:eastAsia="宋体" w:cs="宋体"/>
          <w:sz w:val="28"/>
          <w:szCs w:val="28"/>
        </w:rPr>
        <w:t>（</w:t>
      </w:r>
      <w:r>
        <w:rPr>
          <w:rFonts w:hint="eastAsia" w:ascii="宋体" w:hAnsi="宋体" w:eastAsia="宋体" w:cs="宋体"/>
          <w:sz w:val="28"/>
          <w:szCs w:val="28"/>
          <w:lang w:val="en-US" w:eastAsia="zh-CN"/>
        </w:rPr>
        <w:t>大写）</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元）的总报价，并将按</w:t>
      </w:r>
      <w:r>
        <w:rPr>
          <w:rFonts w:hint="eastAsia" w:ascii="宋体" w:hAnsi="宋体" w:cs="宋体"/>
          <w:sz w:val="28"/>
          <w:szCs w:val="28"/>
          <w:lang w:val="en-US" w:eastAsia="zh-CN"/>
        </w:rPr>
        <w:t>采购</w:t>
      </w:r>
      <w:r>
        <w:rPr>
          <w:rFonts w:hint="eastAsia" w:ascii="宋体" w:hAnsi="宋体" w:eastAsia="宋体" w:cs="宋体"/>
          <w:sz w:val="28"/>
          <w:szCs w:val="28"/>
          <w:lang w:val="en-US" w:eastAsia="zh-CN"/>
        </w:rPr>
        <w:t>文件的规定履行合同责任和义务，实现</w:t>
      </w:r>
      <w:r>
        <w:rPr>
          <w:rFonts w:hint="eastAsia" w:ascii="宋体" w:hAnsi="宋体" w:cs="宋体"/>
          <w:sz w:val="28"/>
          <w:szCs w:val="28"/>
          <w:lang w:val="en-US" w:eastAsia="zh-CN"/>
        </w:rPr>
        <w:t>项目</w:t>
      </w:r>
      <w:r>
        <w:rPr>
          <w:rFonts w:hint="eastAsia" w:ascii="宋体" w:hAnsi="宋体" w:eastAsia="宋体" w:cs="宋体"/>
          <w:sz w:val="28"/>
          <w:szCs w:val="28"/>
          <w:lang w:val="en-US" w:eastAsia="zh-CN"/>
        </w:rPr>
        <w:t>目的。</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我方承诺在</w:t>
      </w:r>
      <w:r>
        <w:rPr>
          <w:rFonts w:hint="eastAsia" w:ascii="宋体" w:hAnsi="宋体" w:cs="宋体"/>
          <w:sz w:val="28"/>
          <w:szCs w:val="28"/>
          <w:lang w:val="en-US" w:eastAsia="zh-CN"/>
        </w:rPr>
        <w:t>采购</w:t>
      </w:r>
      <w:r>
        <w:rPr>
          <w:rFonts w:hint="eastAsia" w:ascii="宋体" w:hAnsi="宋体" w:eastAsia="宋体" w:cs="宋体"/>
          <w:sz w:val="28"/>
          <w:szCs w:val="28"/>
        </w:rPr>
        <w:t>文件规定的有效期内不修改、撤销</w:t>
      </w:r>
      <w:r>
        <w:rPr>
          <w:rFonts w:hint="eastAsia" w:ascii="宋体" w:hAnsi="宋体" w:cs="宋体"/>
          <w:sz w:val="28"/>
          <w:szCs w:val="28"/>
          <w:lang w:val="en-US" w:eastAsia="zh-CN"/>
        </w:rPr>
        <w:t>比选</w:t>
      </w:r>
      <w:r>
        <w:rPr>
          <w:rFonts w:hint="eastAsia" w:ascii="宋体" w:hAnsi="宋体" w:eastAsia="宋体" w:cs="宋体"/>
          <w:sz w:val="28"/>
          <w:szCs w:val="28"/>
        </w:rPr>
        <w:t>文件。</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如果我方中标，将派出</w:t>
      </w:r>
      <w:r>
        <w:rPr>
          <w:rFonts w:hint="eastAsia" w:ascii="宋体" w:hAnsi="宋体" w:eastAsia="宋体" w:cs="宋体"/>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（姓名）作为本的项目负责人。</w:t>
      </w:r>
    </w:p>
    <w:p>
      <w:pPr>
        <w:numPr>
          <w:ilvl w:val="0"/>
          <w:numId w:val="8"/>
        </w:numPr>
        <w:bidi w:val="0"/>
        <w:rPr>
          <w:rFonts w:hint="eastAsia" w:ascii="宋体" w:hAnsi="宋体" w:eastAsia="宋体" w:cs="宋体"/>
          <w:sz w:val="28"/>
          <w:szCs w:val="28"/>
        </w:rPr>
      </w:pPr>
      <w:bookmarkStart w:id="31" w:name="_Toc25712"/>
      <w:r>
        <w:rPr>
          <w:rFonts w:hint="eastAsia" w:ascii="宋体" w:hAnsi="宋体" w:eastAsia="宋体" w:cs="宋体"/>
          <w:sz w:val="28"/>
          <w:szCs w:val="28"/>
        </w:rPr>
        <w:t>如我方中标：</w:t>
      </w:r>
      <w:bookmarkEnd w:id="31"/>
    </w:p>
    <w:p>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我方承诺在收到中标通知后，在规定的期限内与你方签订合同。</w:t>
      </w:r>
    </w:p>
    <w:p>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我方将严格履行本</w:t>
      </w:r>
      <w:r>
        <w:rPr>
          <w:rFonts w:hint="eastAsia" w:ascii="宋体" w:hAnsi="宋体" w:cs="宋体"/>
          <w:sz w:val="28"/>
          <w:szCs w:val="28"/>
          <w:lang w:val="en-US" w:eastAsia="zh-CN"/>
        </w:rPr>
        <w:t>比选</w:t>
      </w:r>
      <w:r>
        <w:rPr>
          <w:rFonts w:hint="eastAsia" w:ascii="宋体" w:hAnsi="宋体" w:eastAsia="宋体" w:cs="宋体"/>
          <w:sz w:val="28"/>
          <w:szCs w:val="28"/>
        </w:rPr>
        <w:t>文件中的全部承诺和责任，并遵守</w:t>
      </w:r>
      <w:r>
        <w:rPr>
          <w:rFonts w:hint="eastAsia" w:ascii="宋体" w:hAnsi="宋体" w:cs="宋体"/>
          <w:sz w:val="28"/>
          <w:szCs w:val="28"/>
          <w:lang w:val="en-US" w:eastAsia="zh-CN"/>
        </w:rPr>
        <w:t>比选</w:t>
      </w:r>
      <w:r>
        <w:rPr>
          <w:rFonts w:hint="eastAsia" w:ascii="宋体" w:hAnsi="宋体" w:eastAsia="宋体" w:cs="宋体"/>
          <w:sz w:val="28"/>
          <w:szCs w:val="28"/>
        </w:rPr>
        <w:t>文件中对</w:t>
      </w:r>
      <w:r>
        <w:rPr>
          <w:rFonts w:hint="eastAsia" w:ascii="宋体" w:hAnsi="宋体" w:cs="宋体"/>
          <w:sz w:val="28"/>
          <w:szCs w:val="28"/>
          <w:lang w:val="en-US" w:eastAsia="zh-CN"/>
        </w:rPr>
        <w:t>供应商</w:t>
      </w:r>
      <w:r>
        <w:rPr>
          <w:rFonts w:hint="eastAsia" w:ascii="宋体" w:hAnsi="宋体" w:eastAsia="宋体" w:cs="宋体"/>
          <w:sz w:val="28"/>
          <w:szCs w:val="28"/>
        </w:rPr>
        <w:t>的所有规定。</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（其他补充说明）。</w:t>
      </w:r>
    </w:p>
    <w:p>
      <w:pPr>
        <w:numPr>
          <w:ilvl w:val="0"/>
          <w:numId w:val="0"/>
        </w:numPr>
        <w:bidi w:val="0"/>
        <w:ind w:leftChars="0"/>
        <w:rPr>
          <w:rFonts w:hint="eastAsia" w:ascii="宋体" w:hAnsi="宋体" w:eastAsia="宋体" w:cs="宋体"/>
          <w:sz w:val="28"/>
          <w:szCs w:val="28"/>
        </w:rPr>
      </w:pPr>
    </w:p>
    <w:p>
      <w:pPr>
        <w:numPr>
          <w:ilvl w:val="0"/>
          <w:numId w:val="0"/>
        </w:numPr>
        <w:bidi w:val="0"/>
        <w:ind w:leftChars="0"/>
        <w:rPr>
          <w:rFonts w:hint="eastAsia" w:ascii="宋体" w:hAnsi="宋体" w:eastAsia="宋体" w:cs="宋体"/>
          <w:sz w:val="28"/>
          <w:szCs w:val="28"/>
        </w:rPr>
      </w:pP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投标人(公章)：</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0" w:leftChars="0" w:firstLine="0" w:firstLineChars="0"/>
        <w:jc w:val="right"/>
        <w:rPr>
          <w:rFonts w:hint="eastAsia" w:ascii="宋体" w:hAnsi="宋体" w:eastAsia="宋体" w:cs="宋体"/>
          <w:sz w:val="28"/>
          <w:szCs w:val="28"/>
        </w:rPr>
      </w:pPr>
      <w:r>
        <w:rPr>
          <w:rFonts w:hint="eastAsia" w:ascii="宋体" w:hAnsi="宋体" w:eastAsia="宋体" w:cs="宋体"/>
          <w:sz w:val="28"/>
          <w:szCs w:val="28"/>
        </w:rPr>
        <w:t xml:space="preserve">法人代表或授权委托人（签字或印章）：          </w:t>
      </w:r>
    </w:p>
    <w:p>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日期：</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p>
    <w:p>
      <w:pPr>
        <w:numPr>
          <w:ilvl w:val="0"/>
          <w:numId w:val="7"/>
        </w:numPr>
        <w:bidi w:val="0"/>
        <w:ind w:left="0" w:leftChars="0" w:firstLine="420" w:firstLineChars="0"/>
        <w:jc w:val="center"/>
        <w:outlineLvl w:val="1"/>
        <w:rPr>
          <w:rStyle w:val="38"/>
          <w:rFonts w:hint="eastAsia"/>
        </w:rPr>
      </w:pPr>
      <w:r>
        <w:rPr>
          <w:rFonts w:hint="eastAsia" w:ascii="宋体" w:hAnsi="宋体" w:eastAsia="宋体" w:cs="宋体"/>
          <w:sz w:val="28"/>
          <w:szCs w:val="28"/>
        </w:rPr>
        <w:br w:type="page"/>
      </w:r>
      <w:bookmarkStart w:id="32" w:name="_Toc26543"/>
      <w:bookmarkStart w:id="33" w:name="_Toc19625"/>
      <w:r>
        <w:rPr>
          <w:rStyle w:val="38"/>
          <w:rFonts w:hint="eastAsia" w:cs="Times New Roman"/>
          <w:lang w:val="en-US" w:eastAsia="zh-CN"/>
        </w:rPr>
        <w:t>比选</w:t>
      </w:r>
      <w:r>
        <w:rPr>
          <w:rStyle w:val="38"/>
          <w:rFonts w:hint="eastAsia" w:cs="Times New Roman"/>
        </w:rPr>
        <w:t>响应</w:t>
      </w:r>
      <w:r>
        <w:rPr>
          <w:rStyle w:val="38"/>
          <w:rFonts w:hint="eastAsia"/>
        </w:rPr>
        <w:t>报价表（格式）</w:t>
      </w:r>
      <w:bookmarkEnd w:id="32"/>
      <w:bookmarkEnd w:id="33"/>
    </w:p>
    <w:tbl>
      <w:tblPr>
        <w:tblStyle w:val="25"/>
        <w:tblW w:w="0" w:type="auto"/>
        <w:jc w:val="center"/>
        <w:tblLayout w:type="fixed"/>
        <w:tblCellMar>
          <w:top w:w="0" w:type="dxa"/>
          <w:left w:w="10" w:type="dxa"/>
          <w:bottom w:w="0" w:type="dxa"/>
          <w:right w:w="10" w:type="dxa"/>
        </w:tblCellMar>
      </w:tblPr>
      <w:tblGrid>
        <w:gridCol w:w="2460"/>
        <w:gridCol w:w="2474"/>
        <w:gridCol w:w="1835"/>
        <w:gridCol w:w="2311"/>
      </w:tblGrid>
      <w:tr>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lang w:eastAsia="zh-CN"/>
              </w:rPr>
              <w:t>采购</w:t>
            </w:r>
            <w:r>
              <w:rPr>
                <w:rFonts w:hint="eastAsia" w:ascii="宋体" w:hAnsi="宋体" w:cs="宋体"/>
                <w:sz w:val="28"/>
                <w:szCs w:val="28"/>
                <w:lang w:val="en-US" w:eastAsia="zh-CN"/>
              </w:rPr>
              <w:t>单位</w:t>
            </w:r>
            <w:r>
              <w:rPr>
                <w:rFonts w:hint="eastAsia" w:ascii="宋体" w:hAnsi="宋体" w:eastAsia="宋体" w:cs="宋体"/>
                <w:sz w:val="28"/>
                <w:szCs w:val="28"/>
              </w:rPr>
              <w:t>：丹阳市人民医院</w:t>
            </w:r>
          </w:p>
        </w:tc>
      </w:tr>
      <w:tr>
        <w:tblPrEx>
          <w:tblCellMar>
            <w:top w:w="0" w:type="dxa"/>
            <w:left w:w="10" w:type="dxa"/>
            <w:bottom w:w="0" w:type="dxa"/>
            <w:right w:w="10" w:type="dxa"/>
          </w:tblCellMar>
        </w:tblPrEx>
        <w:trPr>
          <w:trHeight w:val="73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eastAsia="zh-CN"/>
              </w:rPr>
            </w:pPr>
            <w:r>
              <w:rPr>
                <w:rFonts w:hint="eastAsia" w:ascii="宋体" w:hAnsi="宋体" w:eastAsia="宋体" w:cs="宋体"/>
                <w:sz w:val="28"/>
                <w:szCs w:val="28"/>
                <w:lang w:eastAsia="zh-CN"/>
              </w:rPr>
              <w:t>项目</w:t>
            </w:r>
            <w:r>
              <w:rPr>
                <w:rFonts w:hint="eastAsia" w:ascii="宋体" w:hAnsi="宋体" w:eastAsia="宋体" w:cs="宋体"/>
                <w:sz w:val="28"/>
                <w:szCs w:val="28"/>
              </w:rPr>
              <w:t>名称：</w:t>
            </w:r>
            <w:r>
              <w:rPr>
                <w:rFonts w:hint="eastAsia" w:ascii="宋体" w:hAnsi="宋体" w:cs="宋体"/>
                <w:sz w:val="28"/>
                <w:szCs w:val="28"/>
                <w:lang w:eastAsia="zh-CN"/>
              </w:rPr>
              <w:t>丹阳市人民医院锅炉房水处理维保项目</w:t>
            </w:r>
          </w:p>
        </w:tc>
      </w:tr>
      <w:tr>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cs="宋体"/>
                <w:sz w:val="28"/>
                <w:szCs w:val="28"/>
                <w:lang w:val="en-US" w:eastAsia="zh-CN"/>
              </w:rPr>
              <w:t>供应商</w:t>
            </w:r>
            <w:r>
              <w:rPr>
                <w:rFonts w:hint="eastAsia" w:ascii="宋体" w:hAnsi="宋体" w:eastAsia="宋体" w:cs="宋体"/>
                <w:sz w:val="28"/>
                <w:szCs w:val="28"/>
                <w:lang w:val="en-US" w:eastAsia="zh-CN"/>
              </w:rPr>
              <w:t>单位（盖章）</w:t>
            </w:r>
          </w:p>
        </w:tc>
      </w:tr>
      <w:tr>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法定代表人或授权委托人</w:t>
            </w:r>
            <w:r>
              <w:rPr>
                <w:rFonts w:hint="eastAsia" w:ascii="宋体" w:hAnsi="宋体" w:eastAsia="宋体" w:cs="宋体"/>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p>
        </w:tc>
      </w:tr>
      <w:tr>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r>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r>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bidi w:val="0"/>
        <w:rPr>
          <w:rFonts w:hint="eastAsia"/>
        </w:rPr>
      </w:pPr>
      <w:r>
        <w:rPr>
          <w:rFonts w:hint="eastAsia"/>
        </w:rPr>
        <w:t>注：1、总报价应包含</w:t>
      </w:r>
      <w:r>
        <w:rPr>
          <w:rFonts w:hint="eastAsia"/>
          <w:lang w:val="en-US" w:eastAsia="zh-CN"/>
        </w:rPr>
        <w:t>采购</w:t>
      </w:r>
      <w:r>
        <w:rPr>
          <w:rFonts w:hint="eastAsia"/>
        </w:rPr>
        <w:t>文件所确定的采购范围内的全部内容，含税。</w:t>
      </w:r>
    </w:p>
    <w:p>
      <w:pPr>
        <w:bidi w:val="0"/>
        <w:rPr>
          <w:rFonts w:hint="eastAsia"/>
        </w:rPr>
      </w:pPr>
      <w:bookmarkStart w:id="34" w:name="_Toc28122"/>
      <w:r>
        <w:rPr>
          <w:rFonts w:hint="eastAsia"/>
        </w:rPr>
        <w:t>2、供应商必须据实填写此表，项目报价不得超过预算。</w:t>
      </w:r>
      <w:bookmarkEnd w:id="34"/>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bookmarkStart w:id="35" w:name="_Toc26951"/>
      <w:r>
        <w:rPr>
          <w:rFonts w:hint="eastAsia" w:ascii="宋体" w:hAnsi="宋体" w:eastAsia="宋体" w:cs="宋体"/>
          <w:sz w:val="28"/>
          <w:szCs w:val="28"/>
        </w:rPr>
        <w:br w:type="page"/>
      </w:r>
    </w:p>
    <w:p>
      <w:pPr>
        <w:pStyle w:val="4"/>
        <w:numPr>
          <w:ilvl w:val="0"/>
          <w:numId w:val="7"/>
        </w:numPr>
        <w:bidi w:val="0"/>
        <w:ind w:left="0" w:leftChars="0" w:firstLine="420" w:firstLineChars="0"/>
        <w:rPr>
          <w:rFonts w:hint="eastAsia"/>
          <w:lang w:eastAsia="zh-CN"/>
        </w:rPr>
      </w:pPr>
      <w:bookmarkStart w:id="36" w:name="_Toc1153"/>
      <w:r>
        <w:rPr>
          <w:rFonts w:hint="eastAsia"/>
        </w:rPr>
        <w:t>法定代表人身份证明</w:t>
      </w:r>
      <w:bookmarkEnd w:id="35"/>
      <w:r>
        <w:rPr>
          <w:rFonts w:hint="eastAsia"/>
          <w:lang w:eastAsia="zh-CN"/>
        </w:rPr>
        <w:t>书</w:t>
      </w:r>
      <w:bookmarkEnd w:id="36"/>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单位性质：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(投标人名称)的法定代表人。</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特此证明。</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(盖公章)</w: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pStyle w:val="29"/>
        <w:rPr>
          <w:rFonts w:hint="eastAsia" w:ascii="宋体" w:hAnsi="宋体" w:eastAsia="宋体" w:cs="宋体"/>
          <w:sz w:val="28"/>
          <w:szCs w:val="28"/>
        </w:rPr>
      </w:pPr>
    </w:p>
    <w:p>
      <w:pPr>
        <w:pStyle w:val="29"/>
        <w:rPr>
          <w:rFonts w:hint="eastAsia" w:ascii="宋体" w:hAnsi="宋体" w:eastAsia="宋体" w:cs="宋体"/>
          <w:sz w:val="28"/>
          <w:szCs w:val="28"/>
        </w:rPr>
      </w:pPr>
    </w:p>
    <w:p>
      <w:pPr>
        <w:pStyle w:val="4"/>
        <w:numPr>
          <w:ilvl w:val="0"/>
          <w:numId w:val="7"/>
        </w:numPr>
        <w:bidi w:val="0"/>
        <w:ind w:left="0" w:leftChars="0" w:firstLine="420" w:firstLineChars="0"/>
        <w:rPr>
          <w:rFonts w:hint="eastAsia"/>
        </w:rPr>
      </w:pPr>
      <w:bookmarkStart w:id="37" w:name="_Toc16817"/>
      <w:bookmarkStart w:id="38" w:name="_Toc10458"/>
      <w:r>
        <w:rPr>
          <w:rFonts w:hint="eastAsia"/>
        </w:rPr>
        <w:t>法定代表人授权委托书</w:t>
      </w:r>
      <w:bookmarkEnd w:id="37"/>
      <w:bookmarkEnd w:id="38"/>
    </w:p>
    <w:p>
      <w:pPr>
        <w:numPr>
          <w:ilvl w:val="0"/>
          <w:numId w:val="0"/>
        </w:numPr>
        <w:bidi w:val="0"/>
        <w:ind w:left="42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（姓名）系</w:t>
      </w:r>
      <w:r>
        <w:rPr>
          <w:rFonts w:hint="eastAsia" w:ascii="宋体" w:hAnsi="宋体" w:eastAsia="宋体" w:cs="宋体"/>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（投标人名称）的法定代表人，现委托</w:t>
      </w:r>
      <w:r>
        <w:rPr>
          <w:rFonts w:hint="eastAsia" w:ascii="宋体" w:hAnsi="宋体" w:eastAsia="宋体" w:cs="宋体"/>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w:t>
      </w:r>
      <w:r>
        <w:rPr>
          <w:rFonts w:hint="eastAsia" w:ascii="宋体" w:hAnsi="宋体" w:cs="宋体"/>
          <w:sz w:val="28"/>
          <w:szCs w:val="28"/>
          <w:lang w:val="en-US" w:eastAsia="zh-CN"/>
        </w:rPr>
        <w:t xml:space="preserve"> 比选</w:t>
      </w:r>
      <w:r>
        <w:rPr>
          <w:rFonts w:hint="eastAsia" w:ascii="宋体" w:hAnsi="宋体" w:eastAsia="宋体" w:cs="宋体"/>
          <w:sz w:val="28"/>
          <w:szCs w:val="28"/>
        </w:rPr>
        <w:t>文件、签订合同和处理有关事宜，其法律后果由我方承担。</w:t>
      </w:r>
    </w:p>
    <w:p>
      <w:pPr>
        <w:numPr>
          <w:ilvl w:val="0"/>
          <w:numId w:val="0"/>
        </w:numPr>
        <w:bidi w:val="0"/>
        <w:ind w:left="420" w:leftChars="0"/>
        <w:rPr>
          <w:rFonts w:hint="default" w:ascii="宋体" w:hAnsi="宋体" w:eastAsia="宋体" w:cs="宋体"/>
          <w:sz w:val="28"/>
          <w:szCs w:val="28"/>
          <w:lang w:val="en-US" w:eastAsia="zh-CN"/>
        </w:rPr>
      </w:pPr>
      <w:r>
        <w:rPr>
          <w:rFonts w:hint="eastAsia" w:ascii="宋体" w:hAnsi="宋体" w:eastAsia="宋体" w:cs="宋体"/>
          <w:sz w:val="28"/>
          <w:szCs w:val="28"/>
        </w:rPr>
        <w:t>委托期限：</w:t>
      </w:r>
      <w:r>
        <w:rPr>
          <w:rFonts w:hint="eastAsia" w:ascii="宋体" w:hAnsi="宋体" w:cs="宋体"/>
          <w:sz w:val="28"/>
          <w:szCs w:val="28"/>
          <w:u w:val="single"/>
          <w:lang w:val="en-US" w:eastAsia="zh-CN"/>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代理人无转委托权。</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附：法定代表人身份证明</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（盖单位章）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委托代理人：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w:t>
      </w:r>
    </w:p>
    <w:p>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期：</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lang w:val="en-US" w:eastAsia="zh-CN"/>
        </w:rPr>
      </w:pPr>
      <w:bookmarkStart w:id="39" w:name="_Toc28085"/>
      <w:bookmarkStart w:id="40" w:name="_Toc18040"/>
    </w:p>
    <w:p>
      <w:pPr>
        <w:pStyle w:val="4"/>
        <w:numPr>
          <w:ilvl w:val="0"/>
          <w:numId w:val="7"/>
        </w:numPr>
        <w:bidi w:val="0"/>
        <w:ind w:left="0" w:leftChars="0" w:firstLine="420" w:firstLineChars="0"/>
        <w:rPr>
          <w:rFonts w:hint="eastAsia"/>
        </w:rPr>
      </w:pPr>
      <w:bookmarkStart w:id="41" w:name="_Toc1962"/>
      <w:r>
        <w:rPr>
          <w:rFonts w:hint="eastAsia"/>
        </w:rPr>
        <w:t>资格审查资料</w:t>
      </w:r>
      <w:bookmarkEnd w:id="41"/>
    </w:p>
    <w:p>
      <w:pPr>
        <w:bidi w:val="0"/>
        <w:rPr>
          <w:rFonts w:hint="eastAsia"/>
          <w:sz w:val="28"/>
          <w:szCs w:val="28"/>
        </w:rPr>
      </w:pPr>
      <w:r>
        <w:rPr>
          <w:rFonts w:hint="eastAsia"/>
          <w:sz w:val="28"/>
          <w:szCs w:val="28"/>
        </w:rPr>
        <w:t>供应商基本情况表</w:t>
      </w:r>
      <w:bookmarkEnd w:id="39"/>
    </w:p>
    <w:tbl>
      <w:tblPr>
        <w:tblStyle w:val="25"/>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14"/>
                <w:w w:val="93"/>
              </w:rPr>
              <w:t>供应</w:t>
            </w:r>
            <w:r>
              <w:rPr>
                <w:rFonts w:hint="eastAsia" w:ascii="宋体" w:hAnsi="宋体" w:eastAsia="宋体" w:cs="宋体"/>
                <w:spacing w:val="0"/>
                <w:w w:val="93"/>
              </w:rPr>
              <w:t>商</w:t>
            </w:r>
          </w:p>
          <w:p>
            <w:pPr>
              <w:bidi w:val="0"/>
              <w:rPr>
                <w:rFonts w:hint="eastAsia" w:ascii="宋体" w:hAnsi="宋体" w:eastAsia="宋体" w:cs="宋体"/>
                <w:spacing w:val="0"/>
              </w:rPr>
            </w:pPr>
            <w:r>
              <w:rPr>
                <w:rFonts w:hint="eastAsia" w:ascii="宋体" w:hAnsi="宋体" w:eastAsia="宋体" w:cs="宋体"/>
                <w:spacing w:val="0"/>
              </w:rPr>
              <w:t>名称</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注册地</w:t>
            </w:r>
            <w:r>
              <w:rPr>
                <w:rFonts w:hint="eastAsia" w:ascii="宋体" w:hAnsi="宋体" w:eastAsia="宋体" w:cs="宋体"/>
                <w:spacing w:val="0"/>
              </w:rPr>
              <w:t>址</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邮政编</w:t>
            </w:r>
            <w:r>
              <w:rPr>
                <w:rFonts w:hint="eastAsia" w:ascii="宋体" w:hAnsi="宋体" w:eastAsia="宋体" w:cs="宋体"/>
                <w:spacing w:val="0"/>
                <w:w w:val="94"/>
              </w:rPr>
              <w:t>码</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联系方</w:t>
            </w:r>
            <w:r>
              <w:rPr>
                <w:rFonts w:hint="eastAsia" w:ascii="宋体" w:hAnsi="宋体" w:eastAsia="宋体" w:cs="宋体"/>
                <w:spacing w:val="0"/>
              </w:rPr>
              <w:t>式</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
              </w:rPr>
              <w:t>联系</w:t>
            </w:r>
            <w:r>
              <w:rPr>
                <w:rFonts w:hint="eastAsia" w:ascii="宋体" w:hAnsi="宋体" w:eastAsia="宋体" w:cs="宋体"/>
                <w:spacing w:val="0"/>
              </w:rPr>
              <w:t>人</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电</w:t>
            </w:r>
            <w:r>
              <w:rPr>
                <w:rFonts w:hint="eastAsia" w:ascii="宋体" w:hAnsi="宋体" w:eastAsia="宋体" w:cs="宋体"/>
                <w:spacing w:val="0"/>
              </w:rPr>
              <w:t>话</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pPr>
              <w:bidi w:val="0"/>
              <w:rPr>
                <w:rFonts w:hint="eastAsia" w:ascii="宋体" w:hAnsi="宋体" w:eastAsia="宋体" w:cs="宋体"/>
              </w:rPr>
            </w:pP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传</w:t>
            </w:r>
            <w:r>
              <w:rPr>
                <w:rFonts w:hint="eastAsia" w:ascii="宋体" w:hAnsi="宋体" w:eastAsia="宋体" w:cs="宋体"/>
                <w:spacing w:val="0"/>
              </w:rPr>
              <w:t>真</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网</w:t>
            </w:r>
            <w:r>
              <w:rPr>
                <w:rFonts w:hint="eastAsia" w:ascii="宋体" w:hAnsi="宋体" w:eastAsia="宋体" w:cs="宋体"/>
                <w:spacing w:val="0"/>
              </w:rPr>
              <w:t>址</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组织结</w:t>
            </w:r>
            <w:r>
              <w:rPr>
                <w:rFonts w:hint="eastAsia" w:ascii="宋体" w:hAnsi="宋体" w:eastAsia="宋体" w:cs="宋体"/>
                <w:spacing w:val="0"/>
              </w:rPr>
              <w:t>构</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法定代表</w:t>
            </w:r>
            <w:r>
              <w:rPr>
                <w:rFonts w:hint="eastAsia" w:ascii="宋体" w:hAnsi="宋体" w:eastAsia="宋体" w:cs="宋体"/>
                <w:spacing w:val="0"/>
                <w:w w:val="93"/>
              </w:rPr>
              <w:t>人</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pPr>
              <w:bidi w:val="0"/>
              <w:rPr>
                <w:rFonts w:hint="eastAsia" w:ascii="宋体" w:hAnsi="宋体" w:eastAsia="宋体" w:cs="宋体"/>
              </w:rPr>
            </w:pPr>
          </w:p>
        </w:tc>
        <w:tc>
          <w:tcPr>
            <w:tcW w:w="762"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技术负责</w:t>
            </w:r>
            <w:r>
              <w:rPr>
                <w:rFonts w:hint="eastAsia" w:ascii="宋体" w:hAnsi="宋体" w:eastAsia="宋体" w:cs="宋体"/>
                <w:spacing w:val="0"/>
                <w:w w:val="93"/>
              </w:rPr>
              <w:t>人</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pPr>
              <w:bidi w:val="0"/>
              <w:rPr>
                <w:rFonts w:hint="eastAsia" w:ascii="宋体" w:hAnsi="宋体" w:eastAsia="宋体" w:cs="宋体"/>
              </w:rPr>
            </w:pPr>
          </w:p>
        </w:tc>
        <w:tc>
          <w:tcPr>
            <w:tcW w:w="762"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成立时</w:t>
            </w:r>
            <w:r>
              <w:rPr>
                <w:rFonts w:hint="eastAsia" w:ascii="宋体" w:hAnsi="宋体" w:eastAsia="宋体" w:cs="宋体"/>
                <w:spacing w:val="0"/>
              </w:rPr>
              <w:t>间</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员工人</w:t>
            </w:r>
            <w:r>
              <w:rPr>
                <w:rFonts w:hint="eastAsia" w:ascii="宋体" w:hAnsi="宋体" w:eastAsia="宋体" w:cs="宋体"/>
                <w:spacing w:val="0"/>
                <w:w w:val="94"/>
              </w:rPr>
              <w:t>数</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78"/>
              </w:rPr>
              <w:t>企业资质等</w:t>
            </w:r>
            <w:r>
              <w:rPr>
                <w:rFonts w:hint="eastAsia" w:ascii="宋体" w:hAnsi="宋体" w:eastAsia="宋体" w:cs="宋体"/>
                <w:spacing w:val="0"/>
                <w:w w:val="78"/>
              </w:rPr>
              <w:t>级</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restart"/>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其</w:t>
            </w:r>
            <w:r>
              <w:rPr>
                <w:rFonts w:hint="eastAsia" w:ascii="宋体" w:hAnsi="宋体" w:eastAsia="宋体" w:cs="宋体"/>
                <w:spacing w:val="0"/>
              </w:rPr>
              <w:t>中</w:t>
            </w: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9"/>
              </w:rPr>
              <w:t>项目经</w:t>
            </w:r>
            <w:r>
              <w:rPr>
                <w:rFonts w:hint="eastAsia" w:ascii="宋体" w:hAnsi="宋体" w:eastAsia="宋体" w:cs="宋体"/>
                <w:spacing w:val="0"/>
              </w:rPr>
              <w:t>理</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营业执照</w:t>
            </w:r>
            <w:r>
              <w:rPr>
                <w:rFonts w:hint="eastAsia" w:ascii="宋体" w:hAnsi="宋体" w:eastAsia="宋体" w:cs="宋体"/>
                <w:spacing w:val="0"/>
                <w:w w:val="93"/>
              </w:rPr>
              <w:t>号</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高级职称人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注册资</w:t>
            </w:r>
            <w:r>
              <w:rPr>
                <w:rFonts w:hint="eastAsia" w:ascii="宋体" w:hAnsi="宋体" w:eastAsia="宋体" w:cs="宋体"/>
                <w:spacing w:val="0"/>
              </w:rPr>
              <w:t>金</w:t>
            </w:r>
          </w:p>
        </w:tc>
        <w:tc>
          <w:tcPr>
            <w:tcW w:w="2678" w:type="dxa"/>
            <w:gridSpan w:val="2"/>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48"/>
              </w:rPr>
              <w:t>（万元</w:t>
            </w:r>
            <w:r>
              <w:rPr>
                <w:rFonts w:hint="eastAsia" w:ascii="宋体" w:hAnsi="宋体" w:eastAsia="宋体" w:cs="宋体"/>
                <w:spacing w:val="0"/>
              </w:rPr>
              <w:t>）</w:t>
            </w: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中级职称人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开户银</w:t>
            </w:r>
            <w:r>
              <w:rPr>
                <w:rFonts w:hint="eastAsia" w:ascii="宋体" w:hAnsi="宋体" w:eastAsia="宋体" w:cs="宋体"/>
                <w:spacing w:val="0"/>
              </w:rPr>
              <w:t>行</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初级职称人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23"/>
              </w:rPr>
              <w:t>账</w:t>
            </w:r>
            <w:r>
              <w:rPr>
                <w:rFonts w:hint="eastAsia" w:ascii="宋体" w:hAnsi="宋体" w:eastAsia="宋体" w:cs="宋体"/>
                <w:spacing w:val="0"/>
              </w:rPr>
              <w:t>号</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99"/>
              </w:rPr>
              <w:t>技</w:t>
            </w:r>
            <w:r>
              <w:rPr>
                <w:rFonts w:hint="eastAsia" w:ascii="宋体" w:hAnsi="宋体" w:eastAsia="宋体" w:cs="宋体"/>
                <w:spacing w:val="0"/>
              </w:rPr>
              <w:t>工</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经营范</w:t>
            </w:r>
            <w:r>
              <w:rPr>
                <w:rFonts w:hint="eastAsia" w:ascii="宋体" w:hAnsi="宋体" w:eastAsia="宋体" w:cs="宋体"/>
                <w:spacing w:val="0"/>
              </w:rPr>
              <w:t>围</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23"/>
              </w:rPr>
              <w:t>备</w:t>
            </w:r>
            <w:r>
              <w:rPr>
                <w:rFonts w:hint="eastAsia" w:ascii="宋体" w:hAnsi="宋体" w:eastAsia="宋体" w:cs="宋体"/>
                <w:spacing w:val="0"/>
              </w:rPr>
              <w:t>注</w:t>
            </w:r>
          </w:p>
        </w:tc>
        <w:tc>
          <w:tcPr>
            <w:tcW w:w="7575" w:type="dxa"/>
            <w:gridSpan w:val="6"/>
            <w:tcBorders>
              <w:tl2br w:val="nil"/>
              <w:tr2bl w:val="nil"/>
            </w:tcBorders>
            <w:noWrap/>
            <w:tcFitText/>
            <w:vAlign w:val="center"/>
          </w:tcPr>
          <w:p>
            <w:pPr>
              <w:bidi w:val="0"/>
              <w:rPr>
                <w:rFonts w:hint="eastAsia" w:ascii="宋体" w:hAnsi="宋体" w:eastAsia="宋体" w:cs="宋体"/>
              </w:rPr>
            </w:pPr>
          </w:p>
        </w:tc>
      </w:tr>
    </w:tbl>
    <w:p>
      <w:pPr>
        <w:bidi w:val="0"/>
        <w:rPr>
          <w:rFonts w:hint="eastAsia" w:ascii="宋体" w:hAnsi="宋体" w:eastAsia="宋体" w:cs="宋体"/>
          <w:szCs w:val="28"/>
        </w:rPr>
      </w:pPr>
      <w:r>
        <w:rPr>
          <w:rFonts w:hint="eastAsia"/>
        </w:rPr>
        <w:t>备注：1.本表后应附资质要求对应的相关证明材料复印件；2.无响应指标的应写明无。</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p>
      <w:pPr>
        <w:numPr>
          <w:ilvl w:val="0"/>
          <w:numId w:val="0"/>
        </w:numPr>
        <w:bidi w:val="0"/>
        <w:ind w:left="420" w:leftChars="0"/>
        <w:rPr>
          <w:rFonts w:hint="eastAsia" w:ascii="宋体" w:hAnsi="宋体" w:eastAsia="宋体" w:cs="宋体"/>
          <w:sz w:val="28"/>
          <w:szCs w:val="28"/>
        </w:rPr>
      </w:pPr>
      <w:bookmarkStart w:id="42" w:name="_Toc15698"/>
      <w:r>
        <w:rPr>
          <w:rFonts w:hint="eastAsia" w:ascii="宋体" w:hAnsi="宋体" w:eastAsia="宋体" w:cs="宋体"/>
          <w:sz w:val="28"/>
          <w:szCs w:val="28"/>
        </w:rPr>
        <w:t>附：</w:t>
      </w:r>
    </w:p>
    <w:p>
      <w:pPr>
        <w:pStyle w:val="5"/>
        <w:numPr>
          <w:ilvl w:val="0"/>
          <w:numId w:val="9"/>
        </w:numPr>
        <w:bidi w:val="0"/>
        <w:ind w:left="0" w:leftChars="0" w:firstLine="420" w:firstLineChars="0"/>
        <w:jc w:val="center"/>
        <w:rPr>
          <w:rFonts w:hint="eastAsia"/>
          <w:sz w:val="28"/>
          <w:szCs w:val="28"/>
        </w:rPr>
      </w:pPr>
      <w:bookmarkStart w:id="43" w:name="_Toc31248"/>
      <w:r>
        <w:rPr>
          <w:rFonts w:hint="eastAsia" w:eastAsia="宋体"/>
        </w:rPr>
        <w:t>独立承担民事责任的能力</w:t>
      </w:r>
      <w:bookmarkEnd w:id="42"/>
      <w:bookmarkEnd w:id="43"/>
    </w:p>
    <w:p>
      <w:pPr>
        <w:numPr>
          <w:ilvl w:val="0"/>
          <w:numId w:val="0"/>
        </w:numPr>
        <w:bidi w:val="0"/>
        <w:ind w:leftChars="0"/>
        <w:rPr>
          <w:rFonts w:hint="eastAsia"/>
        </w:rPr>
      </w:pPr>
      <w:r>
        <w:rPr>
          <w:rFonts w:hint="eastAsia"/>
        </w:rPr>
        <w:t>营业执照加盖公章</w:t>
      </w:r>
    </w:p>
    <w:p>
      <w:pPr>
        <w:numPr>
          <w:ilvl w:val="0"/>
          <w:numId w:val="0"/>
        </w:numPr>
        <w:bidi w:val="0"/>
        <w:ind w:left="420" w:leftChars="0"/>
        <w:rPr>
          <w:rFonts w:hint="eastAsia" w:ascii="宋体" w:hAnsi="宋体" w:eastAsia="宋体" w:cs="宋体"/>
          <w:sz w:val="28"/>
          <w:szCs w:val="28"/>
        </w:rPr>
        <w:sectPr>
          <w:pgSz w:w="11906" w:h="16838"/>
          <w:pgMar w:top="1440" w:right="1140" w:bottom="1440" w:left="1423" w:header="851" w:footer="992" w:gutter="0"/>
          <w:cols w:space="0" w:num="1"/>
          <w:rtlGutter w:val="0"/>
          <w:docGrid w:type="lines" w:linePitch="312" w:charSpace="0"/>
        </w:sectPr>
      </w:pPr>
      <w:r>
        <w:rPr>
          <w:rFonts w:hint="eastAsia" w:ascii="宋体" w:hAnsi="宋体" w:eastAsia="宋体" w:cs="宋体"/>
          <w:sz w:val="28"/>
          <w:szCs w:val="28"/>
        </w:rPr>
        <w:br w:type="page"/>
      </w:r>
    </w:p>
    <w:p>
      <w:pPr>
        <w:pStyle w:val="5"/>
        <w:numPr>
          <w:ilvl w:val="0"/>
          <w:numId w:val="9"/>
        </w:numPr>
        <w:bidi w:val="0"/>
        <w:ind w:left="0" w:leftChars="0" w:firstLine="420" w:firstLineChars="0"/>
        <w:jc w:val="center"/>
        <w:rPr>
          <w:rFonts w:hint="eastAsia"/>
        </w:rPr>
      </w:pPr>
      <w:bookmarkStart w:id="44" w:name="_Toc24349"/>
      <w:bookmarkStart w:id="45" w:name="_Toc29012"/>
      <w:r>
        <w:rPr>
          <w:rFonts w:hint="eastAsia"/>
        </w:rPr>
        <w:t>资格承诺函</w:t>
      </w:r>
      <w:bookmarkEnd w:id="44"/>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rPr>
        <w:tab/>
      </w:r>
      <w:r>
        <w:rPr>
          <w:rFonts w:hint="eastAsia" w:ascii="宋体" w:hAnsi="宋体" w:eastAsia="宋体" w:cs="宋体"/>
          <w:sz w:val="28"/>
          <w:szCs w:val="28"/>
        </w:rPr>
        <w:t>丹阳市人民医院</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我单位参与（项目名称）</w:t>
      </w:r>
      <w:r>
        <w:rPr>
          <w:rFonts w:hint="eastAsia" w:ascii="宋体" w:hAnsi="宋体" w:eastAsia="宋体" w:cs="宋体"/>
          <w:sz w:val="28"/>
          <w:szCs w:val="28"/>
        </w:rPr>
        <w:tab/>
      </w:r>
      <w:r>
        <w:rPr>
          <w:rFonts w:hint="eastAsia" w:ascii="宋体" w:hAnsi="宋体" w:eastAsia="宋体" w:cs="宋体"/>
          <w:sz w:val="28"/>
          <w:szCs w:val="28"/>
        </w:rPr>
        <w:t>（项目编号：</w:t>
      </w:r>
      <w:r>
        <w:rPr>
          <w:rFonts w:hint="eastAsia" w:ascii="宋体" w:hAnsi="宋体" w:eastAsia="宋体" w:cs="宋体"/>
          <w:sz w:val="28"/>
          <w:szCs w:val="28"/>
        </w:rPr>
        <w:tab/>
      </w:r>
      <w:r>
        <w:rPr>
          <w:rFonts w:hint="eastAsia" w:ascii="宋体" w:hAnsi="宋体" w:eastAsia="宋体" w:cs="宋体"/>
          <w:sz w:val="28"/>
          <w:szCs w:val="28"/>
        </w:rPr>
        <w:t>）项目的采购活动，现承诺如下：</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1．我方具有良好的商业信誉和健全的财务会计制度。</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2．我方具有履行合同所必需的设备和专业技术能力。</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3．我方具有依法缴纳税收和社会保障资金的良好记录。</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4．我方参加本项目采购活动前三年内，在经营活动中没有重大违法记录。</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pPr>
        <w:numPr>
          <w:ilvl w:val="0"/>
          <w:numId w:val="0"/>
        </w:numPr>
        <w:bidi w:val="0"/>
        <w:ind w:left="0" w:leftChars="0" w:firstLine="0" w:firstLineChars="0"/>
        <w:rPr>
          <w:rFonts w:hint="eastAsia" w:ascii="宋体" w:hAnsi="宋体" w:cs="宋体"/>
          <w:sz w:val="28"/>
          <w:szCs w:val="28"/>
          <w:lang w:val="en-US" w:eastAsia="zh-CN"/>
        </w:rPr>
      </w:pP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cs="宋体"/>
          <w:sz w:val="28"/>
          <w:szCs w:val="28"/>
          <w:lang w:val="en-US" w:eastAsia="zh-CN"/>
        </w:rPr>
        <w:t>比选</w:t>
      </w:r>
      <w:r>
        <w:rPr>
          <w:rFonts w:hint="eastAsia" w:ascii="宋体" w:hAnsi="宋体" w:eastAsia="宋体" w:cs="宋体"/>
          <w:sz w:val="28"/>
          <w:szCs w:val="28"/>
        </w:rPr>
        <w:t>（响应）供应商（全称并盖章）：</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供应商法定代表人或授权代表（签字或签章）：</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日期：</w:t>
      </w:r>
    </w:p>
    <w:bookmarkEnd w:id="45"/>
    <w:p>
      <w:pPr>
        <w:numPr>
          <w:ilvl w:val="0"/>
          <w:numId w:val="0"/>
        </w:numPr>
        <w:bidi w:val="0"/>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pPr>
        <w:numPr>
          <w:ilvl w:val="0"/>
          <w:numId w:val="0"/>
        </w:numPr>
        <w:bidi w:val="0"/>
        <w:ind w:left="0" w:leftChars="0" w:firstLine="0" w:firstLineChars="0"/>
        <w:rPr>
          <w:rFonts w:hint="eastAsia" w:ascii="宋体" w:hAnsi="宋体" w:cs="宋体"/>
          <w:sz w:val="28"/>
          <w:szCs w:val="28"/>
          <w:lang w:val="en-US" w:eastAsia="zh-CN"/>
        </w:rPr>
      </w:pPr>
    </w:p>
    <w:p>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说明：1．供应商可自行选择是否提供本承诺函，若不提供本承诺函的，应按采购文件要求提供相应的证明材料。</w:t>
      </w:r>
    </w:p>
    <w:p>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2．供应商可删减承诺事项，删减的承诺事项须按采购文件要求提供相应的证明材料。比如删去本承诺函第3项的，则应按采购文件要求提供依法缴纳税收和社会保障资金的良好记录。</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pStyle w:val="5"/>
        <w:numPr>
          <w:ilvl w:val="0"/>
          <w:numId w:val="9"/>
        </w:numPr>
        <w:bidi w:val="0"/>
        <w:ind w:left="0" w:leftChars="0" w:firstLine="420" w:firstLineChars="0"/>
        <w:jc w:val="center"/>
        <w:rPr>
          <w:rFonts w:hint="eastAsia"/>
          <w:lang w:val="en-US" w:eastAsia="zh-CN"/>
        </w:rPr>
      </w:pPr>
      <w:r>
        <w:rPr>
          <w:rFonts w:hint="eastAsia"/>
          <w:lang w:val="en-US" w:eastAsia="zh-CN"/>
        </w:rPr>
        <w:t>现场勘察确认函</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rPr>
      </w:pP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pPr>
        <w:pStyle w:val="24"/>
        <w:rPr>
          <w:rFonts w:hint="eastAsia" w:ascii="微软雅黑" w:hAnsi="微软雅黑" w:eastAsia="微软雅黑" w:cs="微软雅黑"/>
          <w:color w:val="auto"/>
          <w:sz w:val="24"/>
          <w:szCs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投标单位(签署及盖章)</w: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lang w:val="en-US" w:eastAsia="zh-CN"/>
        </w:rPr>
        <w:t xml:space="preserve">2024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bookmarkEnd w:id="40"/>
    <w:p>
      <w:pPr>
        <w:pStyle w:val="4"/>
        <w:numPr>
          <w:ilvl w:val="0"/>
          <w:numId w:val="10"/>
        </w:numPr>
        <w:bidi w:val="0"/>
        <w:ind w:left="0" w:leftChars="0" w:firstLine="420" w:firstLineChars="0"/>
        <w:rPr>
          <w:rFonts w:hint="eastAsia"/>
          <w:lang w:val="en-US" w:eastAsia="zh-CN"/>
        </w:rPr>
      </w:pPr>
      <w:bookmarkStart w:id="46" w:name="_Toc24976"/>
      <w:r>
        <w:rPr>
          <w:rFonts w:hint="eastAsia"/>
          <w:lang w:val="en-US" w:eastAsia="zh-CN"/>
        </w:rPr>
        <w:t>技术要求响应偏离表</w:t>
      </w:r>
      <w:bookmarkEnd w:id="46"/>
    </w:p>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3314"/>
        <w:gridCol w:w="3019"/>
        <w:gridCol w:w="92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pPr>
              <w:bidi w:val="0"/>
              <w:jc w:val="center"/>
              <w:rPr>
                <w:rFonts w:hint="eastAsia"/>
              </w:rPr>
            </w:pPr>
            <w:r>
              <w:rPr>
                <w:rFonts w:hint="eastAsia"/>
              </w:rPr>
              <w:t>序号</w:t>
            </w:r>
          </w:p>
        </w:tc>
        <w:tc>
          <w:tcPr>
            <w:tcW w:w="3314" w:type="dxa"/>
            <w:vAlign w:val="center"/>
          </w:tcPr>
          <w:p>
            <w:pPr>
              <w:bidi w:val="0"/>
              <w:rPr>
                <w:rFonts w:hint="eastAsia"/>
              </w:rPr>
            </w:pPr>
            <w:r>
              <w:rPr>
                <w:rFonts w:hint="eastAsia"/>
              </w:rPr>
              <w:t>采购文件规定的技术和服务要求</w:t>
            </w:r>
          </w:p>
        </w:tc>
        <w:tc>
          <w:tcPr>
            <w:tcW w:w="3019" w:type="dxa"/>
            <w:vAlign w:val="center"/>
          </w:tcPr>
          <w:p>
            <w:pPr>
              <w:bidi w:val="0"/>
              <w:rPr>
                <w:rFonts w:hint="eastAsia"/>
              </w:rPr>
            </w:pPr>
            <w:r>
              <w:rPr>
                <w:rFonts w:hint="eastAsia"/>
                <w:lang w:val="en-US" w:eastAsia="zh-CN"/>
              </w:rPr>
              <w:t>比选</w:t>
            </w:r>
            <w:r>
              <w:rPr>
                <w:rFonts w:hint="eastAsia"/>
              </w:rPr>
              <w:t>文件响应的具体内容</w:t>
            </w:r>
          </w:p>
        </w:tc>
        <w:tc>
          <w:tcPr>
            <w:tcW w:w="928" w:type="dxa"/>
            <w:vAlign w:val="center"/>
          </w:tcPr>
          <w:p>
            <w:pPr>
              <w:bidi w:val="0"/>
              <w:rPr>
                <w:rFonts w:hint="eastAsia"/>
              </w:rPr>
            </w:pPr>
            <w:r>
              <w:rPr>
                <w:rFonts w:hint="eastAsia"/>
              </w:rPr>
              <w:t>是否偏离</w:t>
            </w:r>
          </w:p>
        </w:tc>
        <w:tc>
          <w:tcPr>
            <w:tcW w:w="938" w:type="dxa"/>
            <w:vAlign w:val="center"/>
          </w:tcPr>
          <w:p>
            <w:pPr>
              <w:bidi w:val="0"/>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“采购文件规定的技术和服务要求”应与</w:t>
      </w:r>
      <w:r>
        <w:rPr>
          <w:rFonts w:hint="eastAsia" w:ascii="宋体" w:hAnsi="宋体" w:cs="宋体"/>
          <w:sz w:val="24"/>
          <w:szCs w:val="24"/>
          <w:lang w:val="en-US" w:eastAsia="zh-CN"/>
        </w:rPr>
        <w:t>采购</w:t>
      </w:r>
      <w:r>
        <w:rPr>
          <w:rFonts w:hint="eastAsia" w:ascii="宋体" w:hAnsi="宋体" w:eastAsia="宋体" w:cs="宋体"/>
          <w:sz w:val="24"/>
          <w:szCs w:val="24"/>
        </w:rPr>
        <w:t>文件中采购需求的“技术和服务要求”的内容保持一致。</w:t>
      </w:r>
    </w:p>
    <w:p>
      <w:pPr>
        <w:numPr>
          <w:ilvl w:val="0"/>
          <w:numId w:val="0"/>
        </w:numPr>
        <w:bidi w:val="0"/>
        <w:ind w:left="420" w:leftChars="0"/>
        <w:rPr>
          <w:rFonts w:hint="eastAsia" w:ascii="宋体" w:hAnsi="宋体" w:eastAsia="宋体" w:cs="宋体"/>
          <w:sz w:val="24"/>
          <w:szCs w:val="24"/>
        </w:rPr>
      </w:pPr>
      <w:r>
        <w:rPr>
          <w:rFonts w:hint="eastAsia" w:ascii="宋体" w:hAnsi="宋体" w:cs="宋体"/>
          <w:sz w:val="24"/>
          <w:szCs w:val="24"/>
          <w:lang w:val="en-US" w:eastAsia="zh-CN"/>
        </w:rPr>
        <w:t>供应商</w:t>
      </w:r>
      <w:r>
        <w:rPr>
          <w:rFonts w:hint="eastAsia" w:ascii="宋体" w:hAnsi="宋体" w:eastAsia="宋体" w:cs="宋体"/>
          <w:sz w:val="24"/>
          <w:szCs w:val="24"/>
        </w:rPr>
        <w:t>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“是否偏离”项下应按下列规定填写：优于的，填写“正偏离”；符合的，填写“无偏离”；低于的，填写“负偏离”。</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“备注”处可填写偏离情况的说明。</w:t>
      </w:r>
    </w:p>
    <w:p>
      <w:pPr>
        <w:bidi w:val="0"/>
        <w:rPr>
          <w:rFonts w:hint="eastAsia" w:ascii="宋体" w:hAnsi="宋体" w:eastAsia="宋体" w:cs="宋体"/>
        </w:rPr>
      </w:pPr>
    </w:p>
    <w:p>
      <w:pPr>
        <w:pStyle w:val="4"/>
        <w:numPr>
          <w:ilvl w:val="0"/>
          <w:numId w:val="11"/>
        </w:numPr>
        <w:bidi w:val="0"/>
        <w:ind w:left="0" w:leftChars="0" w:firstLine="0" w:firstLineChars="0"/>
        <w:rPr>
          <w:rFonts w:hint="eastAsia"/>
          <w:lang w:val="en-US" w:eastAsia="zh-CN"/>
        </w:rPr>
      </w:pPr>
      <w:r>
        <w:rPr>
          <w:rFonts w:hint="eastAsia"/>
          <w:lang w:val="en-US" w:eastAsia="zh-CN"/>
        </w:rPr>
        <w:t>能力评价材料</w:t>
      </w:r>
    </w:p>
    <w:p>
      <w:pPr>
        <w:ind w:left="0" w:leftChars="0" w:firstLine="420" w:firstLineChars="200"/>
        <w:rPr>
          <w:rStyle w:val="27"/>
          <w:rFonts w:hint="eastAsia" w:ascii="宋体" w:hAnsi="宋体" w:eastAsia="宋体" w:cs="宋体"/>
          <w:b w:val="0"/>
          <w:sz w:val="21"/>
          <w:szCs w:val="24"/>
          <w:lang w:val="en-US" w:eastAsia="zh-CN"/>
        </w:rPr>
      </w:pPr>
      <w:r>
        <w:rPr>
          <w:rStyle w:val="27"/>
          <w:rFonts w:hint="eastAsia" w:ascii="宋体" w:hAnsi="宋体" w:eastAsia="宋体" w:cs="宋体"/>
          <w:b w:val="0"/>
          <w:sz w:val="21"/>
          <w:szCs w:val="24"/>
          <w:lang w:val="en-US" w:eastAsia="zh-CN"/>
        </w:rPr>
        <w:t>自行提供相关履约能力证明材料。</w:t>
      </w:r>
    </w:p>
    <w:p>
      <w:pPr>
        <w:ind w:left="0" w:leftChars="0" w:firstLine="420" w:firstLineChars="200"/>
        <w:rPr>
          <w:rStyle w:val="27"/>
          <w:rFonts w:hint="eastAsia" w:ascii="宋体" w:hAnsi="宋体" w:eastAsia="宋体" w:cs="宋体"/>
          <w:b w:val="0"/>
          <w:sz w:val="21"/>
          <w:szCs w:val="24"/>
          <w:lang w:val="en-US" w:eastAsia="zh-CN"/>
        </w:rPr>
      </w:pPr>
    </w:p>
    <w:p>
      <w:pPr>
        <w:pStyle w:val="4"/>
        <w:numPr>
          <w:ilvl w:val="0"/>
          <w:numId w:val="11"/>
        </w:numPr>
        <w:bidi w:val="0"/>
        <w:ind w:left="0" w:leftChars="0" w:firstLine="0" w:firstLineChars="0"/>
        <w:rPr>
          <w:rFonts w:hint="eastAsia"/>
          <w:lang w:val="en-US" w:eastAsia="zh-CN"/>
        </w:rPr>
      </w:pPr>
      <w:r>
        <w:rPr>
          <w:rFonts w:hint="eastAsia"/>
          <w:lang w:val="en-US" w:eastAsia="zh-CN"/>
        </w:rPr>
        <w:t>经验评价材料</w:t>
      </w:r>
    </w:p>
    <w:p>
      <w:pPr>
        <w:ind w:firstLine="420" w:firstLineChars="200"/>
        <w:rPr>
          <w:rStyle w:val="27"/>
          <w:rFonts w:hint="eastAsia" w:ascii="宋体" w:hAnsi="宋体" w:eastAsia="宋体" w:cs="宋体"/>
          <w:b w:val="0"/>
          <w:sz w:val="21"/>
          <w:szCs w:val="24"/>
          <w:lang w:eastAsia="zh-CN"/>
        </w:rPr>
      </w:pPr>
      <w:r>
        <w:rPr>
          <w:rStyle w:val="27"/>
          <w:rFonts w:ascii="宋体" w:hAnsi="宋体" w:eastAsia="宋体" w:cs="宋体"/>
          <w:b w:val="0"/>
          <w:sz w:val="21"/>
          <w:szCs w:val="24"/>
        </w:rPr>
        <w:t>提供</w:t>
      </w:r>
      <w:r>
        <w:rPr>
          <w:rStyle w:val="27"/>
          <w:rFonts w:hint="eastAsia" w:ascii="宋体" w:hAnsi="宋体" w:eastAsia="宋体" w:cs="宋体"/>
          <w:b w:val="0"/>
          <w:sz w:val="21"/>
          <w:szCs w:val="24"/>
          <w:lang w:val="en-US" w:eastAsia="zh-CN"/>
        </w:rPr>
        <w:t>与</w:t>
      </w:r>
      <w:r>
        <w:rPr>
          <w:rStyle w:val="27"/>
          <w:rFonts w:ascii="宋体" w:hAnsi="宋体" w:eastAsia="宋体" w:cs="宋体"/>
          <w:b w:val="0"/>
          <w:sz w:val="21"/>
          <w:szCs w:val="24"/>
        </w:rPr>
        <w:t>所投产品</w:t>
      </w:r>
      <w:r>
        <w:rPr>
          <w:rStyle w:val="27"/>
          <w:rFonts w:hint="eastAsia" w:ascii="宋体" w:hAnsi="宋体" w:eastAsia="宋体" w:cs="宋体"/>
          <w:b w:val="0"/>
          <w:sz w:val="21"/>
          <w:szCs w:val="24"/>
          <w:lang w:val="en-US" w:eastAsia="zh-CN"/>
        </w:rPr>
        <w:t>相似服务</w:t>
      </w:r>
      <w:r>
        <w:rPr>
          <w:rStyle w:val="27"/>
          <w:rFonts w:ascii="宋体" w:hAnsi="宋体" w:eastAsia="宋体" w:cs="宋体"/>
          <w:b w:val="0"/>
          <w:sz w:val="21"/>
          <w:szCs w:val="24"/>
        </w:rPr>
        <w:t>成功案例</w:t>
      </w:r>
      <w:r>
        <w:rPr>
          <w:rStyle w:val="27"/>
          <w:rFonts w:hint="eastAsia" w:ascii="宋体" w:hAnsi="宋体" w:eastAsia="宋体" w:cs="宋体"/>
          <w:b w:val="0"/>
          <w:sz w:val="21"/>
          <w:szCs w:val="24"/>
          <w:lang w:eastAsia="zh-CN"/>
        </w:rPr>
        <w:t>，</w:t>
      </w:r>
      <w:r>
        <w:rPr>
          <w:rStyle w:val="27"/>
          <w:rFonts w:ascii="宋体" w:hAnsi="宋体" w:eastAsia="宋体" w:cs="宋体"/>
          <w:b w:val="0"/>
          <w:sz w:val="21"/>
          <w:szCs w:val="24"/>
        </w:rPr>
        <w:t>须提供合同原件扫描件</w:t>
      </w:r>
      <w:r>
        <w:rPr>
          <w:rStyle w:val="27"/>
          <w:rFonts w:hint="eastAsia" w:ascii="宋体" w:hAnsi="宋体" w:eastAsia="宋体" w:cs="宋体"/>
          <w:b w:val="0"/>
          <w:sz w:val="21"/>
          <w:szCs w:val="24"/>
          <w:lang w:eastAsia="zh-CN"/>
        </w:rPr>
        <w:t>。</w:t>
      </w:r>
    </w:p>
    <w:p>
      <w:pPr>
        <w:ind w:firstLine="420" w:firstLineChars="200"/>
        <w:rPr>
          <w:rStyle w:val="27"/>
          <w:rFonts w:hint="eastAsia" w:ascii="宋体" w:hAnsi="宋体" w:eastAsia="宋体" w:cs="宋体"/>
          <w:b w:val="0"/>
          <w:sz w:val="21"/>
          <w:szCs w:val="24"/>
          <w:lang w:val="en-US" w:eastAsia="zh-CN"/>
        </w:rPr>
      </w:pPr>
    </w:p>
    <w:p>
      <w:pPr>
        <w:pStyle w:val="4"/>
        <w:numPr>
          <w:ilvl w:val="0"/>
          <w:numId w:val="11"/>
        </w:numPr>
        <w:bidi w:val="0"/>
        <w:ind w:left="0" w:leftChars="0" w:firstLine="0" w:firstLineChars="0"/>
        <w:rPr>
          <w:rFonts w:hint="eastAsia"/>
          <w:lang w:val="en-US" w:eastAsia="zh-CN"/>
        </w:rPr>
      </w:pPr>
      <w:r>
        <w:rPr>
          <w:rFonts w:hint="eastAsia"/>
          <w:lang w:val="en-US" w:eastAsia="zh-CN"/>
        </w:rPr>
        <w:t>项目实施方案评价材料</w:t>
      </w:r>
    </w:p>
    <w:p>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根据现状，向院方提供应急供水方案。</w:t>
      </w:r>
    </w:p>
    <w:p>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向院方提供的易损件清单需详细说明“易损”的理由</w:t>
      </w:r>
      <w:r>
        <w:rPr>
          <w:rFonts w:hint="eastAsia" w:ascii="宋体" w:hAnsi="宋体" w:cs="宋体"/>
          <w:color w:val="auto"/>
          <w:sz w:val="21"/>
          <w:szCs w:val="21"/>
          <w:lang w:val="en-US" w:eastAsia="zh-CN"/>
        </w:rPr>
        <w:t>。</w:t>
      </w:r>
    </w:p>
    <w:p>
      <w:pPr>
        <w:pStyle w:val="2"/>
        <w:rPr>
          <w:rFonts w:hint="eastAsia" w:ascii="宋体" w:hAnsi="宋体" w:eastAsia="宋体" w:cs="宋体"/>
        </w:rPr>
      </w:pPr>
    </w:p>
    <w:p>
      <w:pPr>
        <w:bidi w:val="0"/>
        <w:rPr>
          <w:rFonts w:hint="eastAsia" w:ascii="宋体" w:hAnsi="宋体" w:eastAsia="宋体" w:cs="宋体"/>
        </w:rPr>
      </w:pPr>
    </w:p>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379AF"/>
    <w:multiLevelType w:val="singleLevel"/>
    <w:tmpl w:val="8DE379AF"/>
    <w:lvl w:ilvl="0" w:tentative="0">
      <w:start w:val="6"/>
      <w:numFmt w:val="chineseCounting"/>
      <w:suff w:val="nothing"/>
      <w:lvlText w:val="%1、"/>
      <w:lvlJc w:val="left"/>
      <w:pPr>
        <w:ind w:left="0" w:firstLine="420"/>
      </w:pPr>
      <w:rPr>
        <w:rFonts w:hint="eastAsia"/>
      </w:rPr>
    </w:lvl>
  </w:abstractNum>
  <w:abstractNum w:abstractNumId="1">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2">
    <w:nsid w:val="9B71384D"/>
    <w:multiLevelType w:val="multilevel"/>
    <w:tmpl w:val="9B71384D"/>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5">
    <w:nsid w:val="EADE1ED2"/>
    <w:multiLevelType w:val="multilevel"/>
    <w:tmpl w:val="EADE1ED2"/>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F4EF2DCC"/>
    <w:multiLevelType w:val="singleLevel"/>
    <w:tmpl w:val="F4EF2DCC"/>
    <w:lvl w:ilvl="0" w:tentative="0">
      <w:start w:val="1"/>
      <w:numFmt w:val="chineseCounting"/>
      <w:suff w:val="nothing"/>
      <w:lvlText w:val="%1、"/>
      <w:lvlJc w:val="left"/>
      <w:pPr>
        <w:ind w:left="0" w:firstLine="420"/>
      </w:pPr>
      <w:rPr>
        <w:rFonts w:hint="eastAsia"/>
      </w:rPr>
    </w:lvl>
  </w:abstractNum>
  <w:abstractNum w:abstractNumId="7">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4"/>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9">
    <w:nsid w:val="343AADD4"/>
    <w:multiLevelType w:val="singleLevel"/>
    <w:tmpl w:val="343AADD4"/>
    <w:lvl w:ilvl="0" w:tentative="0">
      <w:start w:val="7"/>
      <w:numFmt w:val="chineseCounting"/>
      <w:suff w:val="nothing"/>
      <w:lvlText w:val="%1、"/>
      <w:lvlJc w:val="left"/>
      <w:pPr>
        <w:ind w:left="0" w:firstLine="420"/>
      </w:pPr>
      <w:rPr>
        <w:rFonts w:hint="eastAsia"/>
      </w:rPr>
    </w:lvl>
  </w:abstractNum>
  <w:abstractNum w:abstractNumId="10">
    <w:nsid w:val="4BA78625"/>
    <w:multiLevelType w:val="singleLevel"/>
    <w:tmpl w:val="4BA78625"/>
    <w:lvl w:ilvl="0" w:tentative="0">
      <w:start w:val="1"/>
      <w:numFmt w:val="chineseCounting"/>
      <w:suff w:val="nothing"/>
      <w:lvlText w:val="（%1）"/>
      <w:lvlJc w:val="left"/>
      <w:pPr>
        <w:ind w:left="0" w:firstLine="420"/>
      </w:pPr>
      <w:rPr>
        <w:rFonts w:hint="eastAsia"/>
      </w:rPr>
    </w:lvl>
  </w:abstractNum>
  <w:num w:numId="1">
    <w:abstractNumId w:val="8"/>
  </w:num>
  <w:num w:numId="2">
    <w:abstractNumId w:val="1"/>
  </w:num>
  <w:num w:numId="3">
    <w:abstractNumId w:val="5"/>
  </w:num>
  <w:num w:numId="4">
    <w:abstractNumId w:val="2"/>
  </w:num>
  <w:num w:numId="5">
    <w:abstractNumId w:val="7"/>
  </w:num>
  <w:num w:numId="6">
    <w:abstractNumId w:val="6"/>
  </w:num>
  <w:num w:numId="7">
    <w:abstractNumId w:val="4"/>
  </w:num>
  <w:num w:numId="8">
    <w:abstractNumId w:val="3"/>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82524A"/>
    <w:rsid w:val="00C92D2B"/>
    <w:rsid w:val="00D51761"/>
    <w:rsid w:val="00D518AC"/>
    <w:rsid w:val="00E822F9"/>
    <w:rsid w:val="00F32906"/>
    <w:rsid w:val="0154230C"/>
    <w:rsid w:val="020A2568"/>
    <w:rsid w:val="02BF0358"/>
    <w:rsid w:val="04425FE9"/>
    <w:rsid w:val="061439B5"/>
    <w:rsid w:val="076D5CA3"/>
    <w:rsid w:val="09294C09"/>
    <w:rsid w:val="0ADE08E9"/>
    <w:rsid w:val="0AE512AD"/>
    <w:rsid w:val="0B1F5EC8"/>
    <w:rsid w:val="0B2E7790"/>
    <w:rsid w:val="0D3E3974"/>
    <w:rsid w:val="0D5F7C0C"/>
    <w:rsid w:val="0EFC0FC2"/>
    <w:rsid w:val="112D72E7"/>
    <w:rsid w:val="119F2246"/>
    <w:rsid w:val="149633B3"/>
    <w:rsid w:val="14C14790"/>
    <w:rsid w:val="17166BB7"/>
    <w:rsid w:val="19A2414E"/>
    <w:rsid w:val="19AE0688"/>
    <w:rsid w:val="19D5786F"/>
    <w:rsid w:val="1A5200F0"/>
    <w:rsid w:val="1B50464C"/>
    <w:rsid w:val="1B592166"/>
    <w:rsid w:val="1C6232CC"/>
    <w:rsid w:val="1DA968D6"/>
    <w:rsid w:val="1DB41640"/>
    <w:rsid w:val="1E0A4D56"/>
    <w:rsid w:val="1E5D3CF4"/>
    <w:rsid w:val="1F9E73BD"/>
    <w:rsid w:val="21AB121A"/>
    <w:rsid w:val="25212EA4"/>
    <w:rsid w:val="26E20509"/>
    <w:rsid w:val="27AF7F38"/>
    <w:rsid w:val="28942C22"/>
    <w:rsid w:val="2B1167EC"/>
    <w:rsid w:val="2BAB28CF"/>
    <w:rsid w:val="2BEF5A7E"/>
    <w:rsid w:val="2EBD19FE"/>
    <w:rsid w:val="309B756E"/>
    <w:rsid w:val="30F96FE4"/>
    <w:rsid w:val="32346F6E"/>
    <w:rsid w:val="33217710"/>
    <w:rsid w:val="356824AE"/>
    <w:rsid w:val="36FE4E33"/>
    <w:rsid w:val="37415068"/>
    <w:rsid w:val="38483D77"/>
    <w:rsid w:val="3989585D"/>
    <w:rsid w:val="3C29156E"/>
    <w:rsid w:val="3DCD004E"/>
    <w:rsid w:val="3F0E37CA"/>
    <w:rsid w:val="3F48163C"/>
    <w:rsid w:val="3F632CDC"/>
    <w:rsid w:val="407777C7"/>
    <w:rsid w:val="40C1324F"/>
    <w:rsid w:val="40F7100D"/>
    <w:rsid w:val="418C7B4C"/>
    <w:rsid w:val="42F71016"/>
    <w:rsid w:val="43F502ED"/>
    <w:rsid w:val="44EF4B92"/>
    <w:rsid w:val="452964E4"/>
    <w:rsid w:val="45A25D72"/>
    <w:rsid w:val="46FA0C7D"/>
    <w:rsid w:val="47002253"/>
    <w:rsid w:val="47D552A4"/>
    <w:rsid w:val="4A967D1C"/>
    <w:rsid w:val="4AAB17C9"/>
    <w:rsid w:val="4B060DE4"/>
    <w:rsid w:val="4BA8289A"/>
    <w:rsid w:val="4C8E331F"/>
    <w:rsid w:val="4D3679D2"/>
    <w:rsid w:val="4DA35DAA"/>
    <w:rsid w:val="4E324304"/>
    <w:rsid w:val="4E8F1391"/>
    <w:rsid w:val="4E960E10"/>
    <w:rsid w:val="4F912AF7"/>
    <w:rsid w:val="4FC25E01"/>
    <w:rsid w:val="4FFC645A"/>
    <w:rsid w:val="50DC04EE"/>
    <w:rsid w:val="52D81261"/>
    <w:rsid w:val="53C30726"/>
    <w:rsid w:val="53FB68E3"/>
    <w:rsid w:val="54674340"/>
    <w:rsid w:val="5699159A"/>
    <w:rsid w:val="57EA6033"/>
    <w:rsid w:val="584A577E"/>
    <w:rsid w:val="58DD3FB8"/>
    <w:rsid w:val="59705FB7"/>
    <w:rsid w:val="59F24396"/>
    <w:rsid w:val="5A0D01D8"/>
    <w:rsid w:val="5A46358F"/>
    <w:rsid w:val="5B376630"/>
    <w:rsid w:val="5BAB74D2"/>
    <w:rsid w:val="61091B6E"/>
    <w:rsid w:val="647C797D"/>
    <w:rsid w:val="65652A5B"/>
    <w:rsid w:val="69DC2875"/>
    <w:rsid w:val="6B814C60"/>
    <w:rsid w:val="6D5B386F"/>
    <w:rsid w:val="6F1B1316"/>
    <w:rsid w:val="6FC059F2"/>
    <w:rsid w:val="7141383C"/>
    <w:rsid w:val="71962296"/>
    <w:rsid w:val="71A548FD"/>
    <w:rsid w:val="72FD1C79"/>
    <w:rsid w:val="73282E7D"/>
    <w:rsid w:val="73440DCB"/>
    <w:rsid w:val="74F95B2E"/>
    <w:rsid w:val="77035D31"/>
    <w:rsid w:val="774A0EDE"/>
    <w:rsid w:val="78C21364"/>
    <w:rsid w:val="79452192"/>
    <w:rsid w:val="796678F5"/>
    <w:rsid w:val="796D14E2"/>
    <w:rsid w:val="7AED2C21"/>
    <w:rsid w:val="7B4C7DFC"/>
    <w:rsid w:val="7C064B9A"/>
    <w:rsid w:val="7E9F6FB5"/>
    <w:rsid w:val="7F7A01B8"/>
    <w:rsid w:val="7FC03CF4"/>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3">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4">
    <w:name w:val="heading 2"/>
    <w:basedOn w:val="1"/>
    <w:next w:val="1"/>
    <w:link w:val="38"/>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5">
    <w:name w:val="heading 3"/>
    <w:basedOn w:val="1"/>
    <w:next w:val="1"/>
    <w:link w:val="41"/>
    <w:autoRedefine/>
    <w:unhideWhenUsed/>
    <w:qFormat/>
    <w:uiPriority w:val="0"/>
    <w:pPr>
      <w:keepNext/>
      <w:keepLines/>
      <w:numPr>
        <w:ilvl w:val="2"/>
        <w:numId w:val="0"/>
      </w:numPr>
      <w:spacing w:line="240" w:lineRule="auto"/>
      <w:outlineLvl w:val="2"/>
    </w:pPr>
    <w:rPr>
      <w:b/>
      <w:sz w:val="28"/>
    </w:rPr>
  </w:style>
  <w:style w:type="paragraph" w:styleId="6">
    <w:name w:val="heading 4"/>
    <w:basedOn w:val="1"/>
    <w:next w:val="1"/>
    <w:link w:val="30"/>
    <w:autoRedefine/>
    <w:unhideWhenUsed/>
    <w:qFormat/>
    <w:uiPriority w:val="0"/>
    <w:pPr>
      <w:keepNext/>
      <w:keepLines/>
      <w:numPr>
        <w:ilvl w:val="3"/>
        <w:numId w:val="2"/>
      </w:numPr>
      <w:outlineLvl w:val="3"/>
    </w:pPr>
    <w:rPr>
      <w:rFonts w:ascii="Arial" w:hAnsi="Arial" w:eastAsia="微软雅黑"/>
    </w:rPr>
  </w:style>
  <w:style w:type="paragraph" w:styleId="7">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8">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9">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10">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1">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List Paragraph"/>
    <w:basedOn w:val="1"/>
    <w:autoRedefine/>
    <w:qFormat/>
    <w:uiPriority w:val="34"/>
    <w:pPr>
      <w:ind w:firstLine="420"/>
    </w:pPr>
    <w:rPr>
      <w:rFonts w:ascii="Calibri" w:hAnsi="Calibri"/>
    </w:rPr>
  </w:style>
  <w:style w:type="paragraph" w:styleId="12">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3">
    <w:name w:val="annotation text"/>
    <w:basedOn w:val="1"/>
    <w:autoRedefine/>
    <w:qFormat/>
    <w:uiPriority w:val="0"/>
    <w:pPr>
      <w:jc w:val="left"/>
    </w:pPr>
  </w:style>
  <w:style w:type="paragraph" w:styleId="14">
    <w:name w:val="Body Text"/>
    <w:basedOn w:val="1"/>
    <w:next w:val="1"/>
    <w:autoRedefine/>
    <w:qFormat/>
    <w:uiPriority w:val="0"/>
    <w:rPr>
      <w:rFonts w:ascii="楷体_GB2312" w:hAnsi="Arial" w:eastAsia="楷体_GB2312"/>
      <w:sz w:val="28"/>
      <w:szCs w:val="28"/>
    </w:rPr>
  </w:style>
  <w:style w:type="paragraph" w:styleId="15">
    <w:name w:val="Body Text Indent"/>
    <w:basedOn w:val="1"/>
    <w:next w:val="16"/>
    <w:link w:val="34"/>
    <w:autoRedefine/>
    <w:qFormat/>
    <w:uiPriority w:val="0"/>
    <w:pPr>
      <w:ind w:firstLine="795"/>
    </w:pPr>
    <w:rPr>
      <w:sz w:val="32"/>
      <w:szCs w:val="32"/>
    </w:r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qFormat/>
    <w:uiPriority w:val="0"/>
    <w:pPr>
      <w:ind w:left="840" w:leftChars="400"/>
    </w:pPr>
  </w:style>
  <w:style w:type="paragraph" w:styleId="18">
    <w:name w:val="Date"/>
    <w:basedOn w:val="1"/>
    <w:next w:val="1"/>
    <w:autoRedefine/>
    <w:qFormat/>
    <w:uiPriority w:val="0"/>
  </w:style>
  <w:style w:type="paragraph" w:styleId="19">
    <w:name w:val="Balloon Text"/>
    <w:basedOn w:val="1"/>
    <w:link w:val="37"/>
    <w:autoRedefine/>
    <w:qFormat/>
    <w:uiPriority w:val="0"/>
    <w:rPr>
      <w:sz w:val="18"/>
      <w:szCs w:val="18"/>
    </w:rPr>
  </w:style>
  <w:style w:type="paragraph" w:styleId="20">
    <w:name w:val="toc 1"/>
    <w:basedOn w:val="1"/>
    <w:next w:val="1"/>
    <w:autoRedefine/>
    <w:qFormat/>
    <w:uiPriority w:val="0"/>
  </w:style>
  <w:style w:type="paragraph" w:styleId="21">
    <w:name w:val="Body Text Indent 3"/>
    <w:basedOn w:val="1"/>
    <w:next w:val="12"/>
    <w:autoRedefine/>
    <w:qFormat/>
    <w:uiPriority w:val="0"/>
    <w:pPr>
      <w:spacing w:line="360" w:lineRule="auto"/>
      <w:ind w:firstLine="617" w:firstLineChars="257"/>
    </w:pPr>
    <w:rPr>
      <w:rFonts w:eastAsia="宋体"/>
      <w:sz w:val="24"/>
      <w:szCs w:val="24"/>
    </w:rPr>
  </w:style>
  <w:style w:type="paragraph" w:styleId="22">
    <w:name w:val="toc 2"/>
    <w:basedOn w:val="1"/>
    <w:next w:val="1"/>
    <w:autoRedefine/>
    <w:qFormat/>
    <w:uiPriority w:val="0"/>
    <w:pPr>
      <w:ind w:left="420" w:leftChars="200"/>
    </w:pPr>
  </w:style>
  <w:style w:type="paragraph" w:styleId="23">
    <w:name w:val="Normal (Web)"/>
    <w:basedOn w:val="1"/>
    <w:autoRedefine/>
    <w:qFormat/>
    <w:uiPriority w:val="0"/>
    <w:pPr>
      <w:spacing w:before="100" w:beforeAutospacing="1" w:after="100" w:afterAutospacing="1"/>
      <w:jc w:val="left"/>
    </w:pPr>
    <w:rPr>
      <w:rFonts w:ascii="宋体" w:hAnsi="宋体" w:cs="宋体"/>
    </w:rPr>
  </w:style>
  <w:style w:type="paragraph" w:styleId="24">
    <w:name w:val="Body Text First Indent 2"/>
    <w:basedOn w:val="15"/>
    <w:next w:val="21"/>
    <w:autoRedefine/>
    <w:unhideWhenUsed/>
    <w:qFormat/>
    <w:uiPriority w:val="0"/>
    <w:pPr>
      <w:ind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paragraph" w:customStyle="1" w:styleId="29">
    <w:name w:val="正文（缩进）"/>
    <w:basedOn w:val="1"/>
    <w:autoRedefine/>
    <w:qFormat/>
    <w:uiPriority w:val="0"/>
    <w:pPr>
      <w:ind w:firstLine="480" w:firstLineChars="200"/>
    </w:pPr>
  </w:style>
  <w:style w:type="character" w:customStyle="1" w:styleId="30">
    <w:name w:val="标题 4 Char"/>
    <w:link w:val="6"/>
    <w:autoRedefine/>
    <w:qFormat/>
    <w:uiPriority w:val="0"/>
    <w:rPr>
      <w:rFonts w:ascii="Arial" w:hAnsi="Arial" w:eastAsia="微软雅黑"/>
      <w:sz w:val="24"/>
    </w:rPr>
  </w:style>
  <w:style w:type="paragraph" w:customStyle="1" w:styleId="31">
    <w:name w:val="Body text|2"/>
    <w:basedOn w:val="1"/>
    <w:autoRedefine/>
    <w:qFormat/>
    <w:uiPriority w:val="0"/>
    <w:pPr>
      <w:jc w:val="center"/>
    </w:pPr>
    <w:rPr>
      <w:rFonts w:ascii="宋体" w:hAnsi="宋体" w:cs="宋体"/>
      <w:sz w:val="26"/>
      <w:szCs w:val="26"/>
      <w:lang w:val="zh-TW" w:eastAsia="zh-TW" w:bidi="zh-TW"/>
    </w:rPr>
  </w:style>
  <w:style w:type="paragraph" w:customStyle="1" w:styleId="32">
    <w:name w:val="Other|1"/>
    <w:basedOn w:val="1"/>
    <w:autoRedefine/>
    <w:qFormat/>
    <w:uiPriority w:val="0"/>
    <w:rPr>
      <w:rFonts w:ascii="宋体" w:hAnsi="宋体" w:cs="宋体"/>
      <w:sz w:val="15"/>
      <w:szCs w:val="15"/>
      <w:lang w:val="zh-TW" w:eastAsia="zh-TW" w:bidi="zh-TW"/>
    </w:rPr>
  </w:style>
  <w:style w:type="paragraph" w:customStyle="1" w:styleId="33">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4">
    <w:name w:val="正文文本缩进 Char"/>
    <w:link w:val="15"/>
    <w:autoRedefine/>
    <w:qFormat/>
    <w:uiPriority w:val="0"/>
    <w:rPr>
      <w:color w:val="auto"/>
      <w:sz w:val="32"/>
      <w:szCs w:val="32"/>
    </w:rPr>
  </w:style>
  <w:style w:type="character" w:customStyle="1" w:styleId="35">
    <w:name w:val="font11"/>
    <w:basedOn w:val="27"/>
    <w:autoRedefine/>
    <w:qFormat/>
    <w:uiPriority w:val="0"/>
    <w:rPr>
      <w:rFonts w:hint="eastAsia" w:ascii="宋体" w:hAnsi="宋体" w:eastAsia="宋体" w:cs="宋体"/>
      <w:color w:val="000000"/>
      <w:sz w:val="20"/>
      <w:szCs w:val="20"/>
      <w:u w:val="none"/>
    </w:rPr>
  </w:style>
  <w:style w:type="character" w:customStyle="1" w:styleId="36">
    <w:name w:val="font01"/>
    <w:basedOn w:val="27"/>
    <w:autoRedefine/>
    <w:qFormat/>
    <w:uiPriority w:val="0"/>
    <w:rPr>
      <w:rFonts w:hint="default" w:ascii="Arial" w:hAnsi="Arial" w:cs="Arial"/>
      <w:color w:val="000000"/>
      <w:sz w:val="20"/>
      <w:szCs w:val="20"/>
      <w:u w:val="none"/>
    </w:rPr>
  </w:style>
  <w:style w:type="character" w:customStyle="1" w:styleId="37">
    <w:name w:val="批注框文本 Char"/>
    <w:basedOn w:val="27"/>
    <w:link w:val="19"/>
    <w:autoRedefine/>
    <w:qFormat/>
    <w:uiPriority w:val="0"/>
    <w:rPr>
      <w:rFonts w:asciiTheme="minorHAnsi" w:hAnsiTheme="minorHAnsi" w:cstheme="minorBidi"/>
      <w:kern w:val="2"/>
      <w:sz w:val="18"/>
      <w:szCs w:val="18"/>
    </w:rPr>
  </w:style>
  <w:style w:type="character" w:customStyle="1" w:styleId="38">
    <w:name w:val="标题 2 字符"/>
    <w:link w:val="4"/>
    <w:autoRedefine/>
    <w:qFormat/>
    <w:uiPriority w:val="0"/>
    <w:rPr>
      <w:rFonts w:ascii="Arial" w:hAnsi="Arial" w:eastAsia="黑体"/>
      <w:b/>
      <w:sz w:val="32"/>
    </w:rPr>
  </w:style>
  <w:style w:type="paragraph" w:customStyle="1" w:styleId="39">
    <w:name w:val="Table Text"/>
    <w:basedOn w:val="1"/>
    <w:autoRedefine/>
    <w:semiHidden/>
    <w:qFormat/>
    <w:uiPriority w:val="0"/>
    <w:rPr>
      <w:rFonts w:ascii="宋体" w:hAnsi="宋体" w:eastAsia="宋体" w:cs="宋体"/>
      <w:sz w:val="18"/>
      <w:szCs w:val="18"/>
      <w:lang w:val="en-US" w:eastAsia="en-US" w:bidi="ar-SA"/>
    </w:rPr>
  </w:style>
  <w:style w:type="table" w:customStyle="1" w:styleId="40">
    <w:name w:val="Table Normal"/>
    <w:autoRedefine/>
    <w:unhideWhenUsed/>
    <w:qFormat/>
    <w:uiPriority w:val="0"/>
    <w:tblPr>
      <w:tblCellMar>
        <w:top w:w="0" w:type="dxa"/>
        <w:left w:w="0" w:type="dxa"/>
        <w:bottom w:w="0" w:type="dxa"/>
        <w:right w:w="0" w:type="dxa"/>
      </w:tblCellMar>
    </w:tblPr>
  </w:style>
  <w:style w:type="character" w:customStyle="1" w:styleId="41">
    <w:name w:val="标题 3 Char"/>
    <w:link w:val="5"/>
    <w:autoRedefine/>
    <w:qFormat/>
    <w:uiPriority w:val="0"/>
    <w:rPr>
      <w:rFonts w:eastAsia="宋体"/>
      <w:b/>
      <w:sz w:val="28"/>
    </w:rPr>
  </w:style>
  <w:style w:type="paragraph" w:customStyle="1" w:styleId="42">
    <w:name w:val="WPSOffice手动目录 1"/>
    <w:autoRedefine/>
    <w:qFormat/>
    <w:uiPriority w:val="0"/>
    <w:pPr>
      <w:ind w:leftChars="0"/>
    </w:pPr>
    <w:rPr>
      <w:rFonts w:ascii="Times New Roman" w:hAnsi="Times New Roman" w:eastAsia="宋体" w:cs="Times New Roman"/>
      <w:sz w:val="20"/>
      <w:szCs w:val="20"/>
    </w:rPr>
  </w:style>
  <w:style w:type="paragraph" w:customStyle="1" w:styleId="43">
    <w:name w:val="WPSOffice手动目录 3"/>
    <w:autoRedefine/>
    <w:qFormat/>
    <w:uiPriority w:val="0"/>
    <w:pPr>
      <w:ind w:leftChars="400"/>
    </w:pPr>
    <w:rPr>
      <w:rFonts w:ascii="Times New Roman" w:hAnsi="Times New Roman" w:eastAsia="宋体" w:cs="Times New Roman"/>
      <w:sz w:val="20"/>
      <w:szCs w:val="20"/>
    </w:rPr>
  </w:style>
  <w:style w:type="paragraph" w:customStyle="1" w:styleId="44">
    <w:name w:val="WPSOffice手动目录 2"/>
    <w:autoRedefine/>
    <w:qFormat/>
    <w:uiPriority w:val="0"/>
    <w:pPr>
      <w:ind w:leftChars="200"/>
    </w:pPr>
    <w:rPr>
      <w:rFonts w:ascii="Times New Roman" w:hAnsi="Times New Roman" w:eastAsia="宋体" w:cs="Times New Roman"/>
      <w:sz w:val="20"/>
      <w:szCs w:val="20"/>
    </w:rPr>
  </w:style>
  <w:style w:type="paragraph" w:customStyle="1" w:styleId="45">
    <w:name w:val="Normal_0"/>
    <w:autoRedefine/>
    <w:qFormat/>
    <w:uiPriority w:val="0"/>
    <w:pPr>
      <w:widowControl w:val="0"/>
      <w:autoSpaceDE w:val="0"/>
      <w:autoSpaceDN w:val="0"/>
    </w:pPr>
    <w:rPr>
      <w:rFonts w:ascii="宋体" w:hAnsi="宋体" w:eastAsia="宋体" w:cs="宋体"/>
      <w:sz w:val="22"/>
      <w:szCs w:val="22"/>
      <w:lang w:val="en-US" w:eastAsia="en-US" w:bidi="ar-SA"/>
    </w:rPr>
  </w:style>
  <w:style w:type="paragraph" w:customStyle="1" w:styleId="46">
    <w:name w:val="Normal_2"/>
    <w:autoRedefine/>
    <w:qFormat/>
    <w:uiPriority w:val="0"/>
    <w:rPr>
      <w:rFonts w:ascii="Times New Roman" w:hAnsi="Times New Roman" w:eastAsia="Times New Roman" w:cs="Times New Roman"/>
      <w:sz w:val="24"/>
      <w:szCs w:val="24"/>
    </w:rPr>
  </w:style>
  <w:style w:type="paragraph" w:customStyle="1" w:styleId="47">
    <w:name w:val="Normal_7"/>
    <w:autoRedefine/>
    <w:qFormat/>
    <w:uiPriority w:val="0"/>
    <w:rPr>
      <w:rFonts w:ascii="Times New Roman" w:hAnsi="Times New Roman" w:eastAsia="Times New Roman" w:cs="Times New Roman"/>
      <w:sz w:val="24"/>
      <w:szCs w:val="24"/>
    </w:rPr>
  </w:style>
  <w:style w:type="paragraph" w:customStyle="1" w:styleId="48">
    <w:name w:val="Normal_6"/>
    <w:autoRedefine/>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7054</Words>
  <Characters>7251</Characters>
  <Lines>24</Lines>
  <Paragraphs>6</Paragraphs>
  <TotalTime>11</TotalTime>
  <ScaleCrop>false</ScaleCrop>
  <LinksUpToDate>false</LinksUpToDate>
  <CharactersWithSpaces>8637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2024-04-11T08:46:00Z</cp:lastPrinted>
  <dcterms:modified xsi:type="dcterms:W3CDTF">2024-06-12T00:51:10Z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52218B5F66C340B3A90C4225B52A3ABA_13</vt:lpwstr>
  </property>
</Properties>
</file>