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E67C">
      <w:pPr>
        <w:pStyle w:val="3"/>
        <w:numPr>
          <w:ilvl w:val="0"/>
          <w:numId w:val="0"/>
        </w:numPr>
        <w:bidi w:val="0"/>
        <w:ind w:leftChars="0"/>
        <w:jc w:val="center"/>
        <w:rPr>
          <w:rFonts w:hint="default"/>
          <w:lang w:val="en-US"/>
        </w:rPr>
      </w:pPr>
      <w:bookmarkStart w:id="0" w:name="_Toc19291"/>
      <w:r>
        <w:rPr>
          <w:rFonts w:hint="eastAsia"/>
        </w:rPr>
        <w:t>丹阳市人民医院</w:t>
      </w:r>
      <w:r>
        <w:rPr>
          <w:rFonts w:hint="eastAsia"/>
          <w:lang w:val="en-US" w:eastAsia="zh-CN"/>
        </w:rPr>
        <w:t>自助共享轮椅、平车</w:t>
      </w:r>
      <w:r>
        <w:rPr>
          <w:rFonts w:hint="eastAsia"/>
        </w:rPr>
        <w:t>运营单位</w:t>
      </w:r>
      <w:r>
        <w:rPr>
          <w:rFonts w:hint="eastAsia"/>
          <w:lang w:val="en-US" w:eastAsia="zh-CN"/>
        </w:rPr>
        <w:t>遴选</w:t>
      </w:r>
      <w:bookmarkEnd w:id="0"/>
      <w:r>
        <w:rPr>
          <w:rFonts w:hint="eastAsia"/>
          <w:lang w:val="en-US" w:eastAsia="zh-CN"/>
        </w:rPr>
        <w:t>项目</w:t>
      </w:r>
    </w:p>
    <w:p w14:paraId="4C09BD72">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14:paraId="7A0E6BAD">
      <w:pPr>
        <w:numPr>
          <w:ilvl w:val="1"/>
          <w:numId w:val="3"/>
        </w:numPr>
        <w:bidi w:val="0"/>
        <w:ind w:left="567" w:leftChars="0" w:hanging="567" w:firstLineChars="0"/>
        <w:rPr>
          <w:rFonts w:hint="eastAsia" w:ascii="宋体" w:hAnsi="宋体" w:eastAsia="宋体" w:cs="宋体"/>
        </w:rPr>
      </w:pPr>
      <w:r>
        <w:rPr>
          <w:rFonts w:hint="eastAsia" w:ascii="宋体" w:hAnsi="宋体" w:eastAsia="宋体" w:cs="宋体"/>
        </w:rPr>
        <w:t>名称：</w:t>
      </w:r>
      <w:r>
        <w:rPr>
          <w:rFonts w:hint="eastAsia" w:ascii="宋体" w:hAnsi="宋体" w:eastAsia="宋体" w:cs="宋体"/>
          <w:lang w:eastAsia="zh-CN"/>
        </w:rPr>
        <w:t>丹阳市人民医院自助共享轮椅、平车运营单位</w:t>
      </w:r>
      <w:r>
        <w:rPr>
          <w:rFonts w:hint="eastAsia" w:ascii="宋体" w:hAnsi="宋体" w:cs="宋体"/>
          <w:lang w:val="en-US" w:eastAsia="zh-CN"/>
        </w:rPr>
        <w:t>遴选</w:t>
      </w:r>
      <w:r>
        <w:rPr>
          <w:rFonts w:hint="eastAsia" w:ascii="宋体" w:hAnsi="宋体" w:eastAsia="宋体" w:cs="宋体"/>
          <w:lang w:eastAsia="zh-CN"/>
        </w:rPr>
        <w:t>项目</w:t>
      </w:r>
      <w:r>
        <w:rPr>
          <w:rFonts w:hint="eastAsia" w:ascii="宋体" w:hAnsi="宋体" w:eastAsia="宋体" w:cs="宋体"/>
        </w:rPr>
        <w:t>；</w:t>
      </w:r>
    </w:p>
    <w:p w14:paraId="4DE8D2F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rPr>
        <w:t>编号：</w:t>
      </w:r>
      <w:r>
        <w:rPr>
          <w:rFonts w:hint="eastAsia" w:ascii="宋体" w:hAnsi="宋体" w:eastAsia="宋体" w:cs="宋体"/>
          <w:lang w:eastAsia="zh-CN"/>
        </w:rPr>
        <w:t>DRY-CG-2024046</w:t>
      </w:r>
      <w:r>
        <w:rPr>
          <w:rFonts w:hint="eastAsia" w:ascii="宋体" w:hAnsi="宋体" w:eastAsia="宋体" w:cs="宋体"/>
          <w:lang w:val="en-US" w:eastAsia="zh-CN"/>
        </w:rPr>
        <w:t>；</w:t>
      </w:r>
    </w:p>
    <w:p w14:paraId="23962D64">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14:paraId="3900C754">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9</w:t>
      </w:r>
      <w:r>
        <w:rPr>
          <w:rFonts w:hint="eastAsia"/>
        </w:rPr>
        <w:t>月</w:t>
      </w:r>
      <w:r>
        <w:rPr>
          <w:rFonts w:hint="eastAsia"/>
          <w:lang w:val="en-US" w:eastAsia="zh-CN"/>
        </w:rPr>
        <w:t xml:space="preserve"> 27 </w:t>
      </w:r>
      <w:r>
        <w:rPr>
          <w:rFonts w:hint="eastAsia"/>
        </w:rPr>
        <w:t>日至</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 xml:space="preserve"> 8 </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14:paraId="341EBAA9">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14:paraId="6FE929E3">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14:paraId="63B44D75">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14:paraId="12B5981B">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14:paraId="5941EF09">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14:paraId="393B3B99">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1BC0B09">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14:paraId="5B3F3086">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14:paraId="61403FCB">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14:paraId="4B4117C3">
      <w:pPr>
        <w:numPr>
          <w:ilvl w:val="1"/>
          <w:numId w:val="3"/>
        </w:numPr>
        <w:bidi w:val="0"/>
        <w:ind w:left="567" w:leftChars="0" w:hanging="567" w:firstLineChars="0"/>
        <w:rPr>
          <w:rFonts w:hint="eastAsia"/>
        </w:rPr>
      </w:pPr>
      <w:r>
        <w:rPr>
          <w:rFonts w:hint="eastAsia"/>
        </w:rPr>
        <w:t>本项目特定的资格要求：</w:t>
      </w:r>
      <w:r>
        <w:rPr>
          <w:rFonts w:hint="eastAsia"/>
          <w:lang w:val="en-US" w:eastAsia="zh-CN"/>
        </w:rPr>
        <w:t>供应商</w:t>
      </w:r>
      <w:r>
        <w:rPr>
          <w:rFonts w:hint="eastAsia" w:ascii="宋体" w:hAnsi="宋体" w:cs="Arial"/>
          <w:color w:val="auto"/>
          <w:sz w:val="24"/>
          <w:szCs w:val="24"/>
          <w:lang w:val="en-US" w:eastAsia="zh-CN"/>
        </w:rPr>
        <w:t>具备有效的《第二类医疗器械经营备案凭证》</w:t>
      </w:r>
    </w:p>
    <w:p w14:paraId="49C282CA">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项目内容</w:t>
      </w:r>
    </w:p>
    <w:p w14:paraId="414B77E5">
      <w:pPr>
        <w:numPr>
          <w:ilvl w:val="0"/>
          <w:numId w:val="0"/>
        </w:numPr>
        <w:bidi w:val="0"/>
        <w:ind w:leftChars="0" w:firstLine="480" w:firstLineChars="200"/>
        <w:rPr>
          <w:rFonts w:hint="eastAsia"/>
          <w:lang w:val="en-US" w:eastAsia="zh-CN"/>
        </w:rPr>
      </w:pPr>
      <w:r>
        <w:rPr>
          <w:rFonts w:hint="eastAsia"/>
          <w:lang w:val="en-US" w:eastAsia="zh-CN"/>
        </w:rPr>
        <w:t>门诊大厅、急诊大厅、住院部大厅使用自助共享轮椅服务，预计30台共享轮椅，一台共享平车，具体位置放置数量医疗服务部根据需求情况进行调节。</w:t>
      </w:r>
    </w:p>
    <w:p w14:paraId="5E3AFA64">
      <w:pPr>
        <w:numPr>
          <w:ilvl w:val="0"/>
          <w:numId w:val="3"/>
        </w:numPr>
        <w:bidi w:val="0"/>
        <w:ind w:left="425" w:leftChars="0" w:hanging="425" w:firstLineChars="0"/>
        <w:outlineLvl w:val="0"/>
        <w:rPr>
          <w:rFonts w:hint="eastAsia" w:eastAsia="宋体"/>
          <w:b/>
          <w:bCs/>
          <w:sz w:val="28"/>
          <w:szCs w:val="28"/>
          <w:lang w:val="en-US" w:eastAsia="zh-CN"/>
        </w:rPr>
      </w:pPr>
      <w:bookmarkStart w:id="7" w:name="_Toc13744"/>
      <w:bookmarkStart w:id="8" w:name="_Toc26948"/>
      <w:r>
        <w:rPr>
          <w:rFonts w:hint="eastAsia" w:eastAsia="宋体"/>
          <w:b/>
          <w:bCs/>
          <w:sz w:val="28"/>
          <w:szCs w:val="28"/>
          <w:lang w:val="en-US" w:eastAsia="zh-CN"/>
        </w:rPr>
        <w:t>技术</w:t>
      </w:r>
      <w:r>
        <w:rPr>
          <w:rFonts w:hint="eastAsia"/>
          <w:b/>
          <w:bCs/>
          <w:sz w:val="28"/>
          <w:szCs w:val="28"/>
          <w:lang w:val="en-US" w:eastAsia="zh-CN"/>
        </w:rPr>
        <w:t>服务</w:t>
      </w:r>
      <w:r>
        <w:rPr>
          <w:rFonts w:hint="eastAsia" w:eastAsia="宋体"/>
          <w:b/>
          <w:bCs/>
          <w:sz w:val="28"/>
          <w:szCs w:val="28"/>
          <w:lang w:val="en-US" w:eastAsia="zh-CN"/>
        </w:rPr>
        <w:t>要求</w:t>
      </w:r>
      <w:bookmarkEnd w:id="7"/>
      <w:bookmarkEnd w:id="8"/>
    </w:p>
    <w:p w14:paraId="3C8F60A2">
      <w:pPr>
        <w:numPr>
          <w:ilvl w:val="1"/>
          <w:numId w:val="3"/>
        </w:numPr>
        <w:bidi w:val="0"/>
        <w:ind w:left="567" w:leftChars="0" w:hanging="567" w:firstLineChars="0"/>
        <w:rPr>
          <w:rFonts w:hint="default" w:eastAsia="宋体"/>
          <w:lang w:val="en-US" w:eastAsia="zh-CN"/>
        </w:rPr>
      </w:pPr>
      <w:r>
        <w:rPr>
          <w:rFonts w:hint="eastAsia" w:eastAsia="宋体"/>
          <w:lang w:val="en-US" w:eastAsia="zh-CN"/>
        </w:rPr>
        <w:t>轮椅</w:t>
      </w:r>
    </w:p>
    <w:p w14:paraId="50358E24">
      <w:pPr>
        <w:numPr>
          <w:ilvl w:val="2"/>
          <w:numId w:val="3"/>
        </w:numPr>
        <w:bidi w:val="0"/>
        <w:ind w:left="709" w:leftChars="0" w:hanging="709" w:firstLineChars="0"/>
        <w:rPr>
          <w:rFonts w:hint="default" w:eastAsia="宋体"/>
          <w:lang w:val="en-US" w:eastAsia="zh-CN"/>
        </w:rPr>
      </w:pPr>
      <w:r>
        <w:rPr>
          <w:rFonts w:hint="eastAsia" w:eastAsia="宋体"/>
          <w:lang w:val="en-US" w:eastAsia="zh-CN"/>
        </w:rPr>
        <w:t>※符合《GB/T 13800—2009 手动轮椅车》或《GB/Z13800-2021 手动轮椅车》国家标准（提供具有CMA资质的第三方检测机构出具的检测（检验）报告复印件并加盖公章）；</w:t>
      </w:r>
    </w:p>
    <w:p w14:paraId="7637B94F">
      <w:pPr>
        <w:numPr>
          <w:ilvl w:val="2"/>
          <w:numId w:val="3"/>
        </w:numPr>
        <w:bidi w:val="0"/>
        <w:ind w:left="709" w:leftChars="0" w:hanging="709" w:firstLineChars="0"/>
        <w:rPr>
          <w:rFonts w:hint="default" w:eastAsia="宋体"/>
          <w:lang w:val="en-US" w:eastAsia="zh-CN"/>
        </w:rPr>
      </w:pPr>
      <w:r>
        <w:rPr>
          <w:rFonts w:hint="eastAsia" w:eastAsia="宋体"/>
          <w:lang w:val="en-US" w:eastAsia="zh-CN"/>
        </w:rPr>
        <w:t>※配备安全带；</w:t>
      </w:r>
    </w:p>
    <w:p w14:paraId="0E0CBB94">
      <w:pPr>
        <w:numPr>
          <w:ilvl w:val="2"/>
          <w:numId w:val="3"/>
        </w:numPr>
        <w:bidi w:val="0"/>
        <w:ind w:left="709" w:leftChars="0" w:hanging="709" w:firstLineChars="0"/>
        <w:rPr>
          <w:rFonts w:hint="default" w:eastAsia="宋体"/>
          <w:lang w:val="en-US" w:eastAsia="zh-CN"/>
        </w:rPr>
      </w:pPr>
      <w:r>
        <w:rPr>
          <w:rFonts w:hint="eastAsia" w:eastAsia="宋体"/>
          <w:lang w:val="en-US" w:eastAsia="zh-CN"/>
        </w:rPr>
        <w:t>具有保险公司合法有效产品保单；</w:t>
      </w:r>
    </w:p>
    <w:p w14:paraId="08CB77BD">
      <w:pPr>
        <w:numPr>
          <w:ilvl w:val="2"/>
          <w:numId w:val="3"/>
        </w:numPr>
        <w:bidi w:val="0"/>
        <w:ind w:left="709" w:leftChars="0" w:hanging="709" w:firstLineChars="0"/>
        <w:rPr>
          <w:rFonts w:hint="default" w:eastAsia="宋体"/>
          <w:lang w:val="en-US" w:eastAsia="zh-CN"/>
        </w:rPr>
      </w:pPr>
      <w:r>
        <w:rPr>
          <w:rFonts w:hint="eastAsia" w:ascii="宋体" w:hAnsi="宋体" w:eastAsia="宋体" w:cs="宋体"/>
          <w:b/>
          <w:bCs/>
          <w:sz w:val="28"/>
          <w:szCs w:val="28"/>
          <w:lang w:val="en-US" w:eastAsia="zh-CN"/>
        </w:rPr>
        <w:t>★</w:t>
      </w:r>
      <w:r>
        <w:rPr>
          <w:rFonts w:hint="eastAsia" w:eastAsia="宋体"/>
          <w:lang w:val="en-US" w:eastAsia="zh-CN"/>
        </w:rPr>
        <w:t>具备有效的医疗器械注册证（体现轮椅型号），在响应文件中提供有效证明材料复印件。</w:t>
      </w:r>
    </w:p>
    <w:p w14:paraId="51A9A860">
      <w:pPr>
        <w:numPr>
          <w:ilvl w:val="1"/>
          <w:numId w:val="3"/>
        </w:numPr>
        <w:bidi w:val="0"/>
        <w:ind w:left="567" w:leftChars="0" w:hanging="567" w:firstLineChars="0"/>
        <w:rPr>
          <w:rFonts w:hint="default" w:eastAsia="宋体"/>
          <w:lang w:val="en-US" w:eastAsia="zh-CN"/>
        </w:rPr>
      </w:pPr>
      <w:r>
        <w:rPr>
          <w:rFonts w:hint="eastAsia" w:eastAsia="宋体"/>
          <w:lang w:val="en-US" w:eastAsia="zh-CN"/>
        </w:rPr>
        <w:t>归位桩</w:t>
      </w:r>
    </w:p>
    <w:p w14:paraId="58F8C5C8">
      <w:pPr>
        <w:numPr>
          <w:ilvl w:val="2"/>
          <w:numId w:val="3"/>
        </w:numPr>
        <w:bidi w:val="0"/>
        <w:ind w:left="709" w:leftChars="0" w:hanging="709" w:firstLineChars="0"/>
        <w:rPr>
          <w:rFonts w:hint="eastAsia" w:eastAsia="宋体"/>
          <w:lang w:val="en-US" w:eastAsia="zh-CN"/>
        </w:rPr>
      </w:pPr>
      <w:r>
        <w:rPr>
          <w:rFonts w:hint="eastAsia" w:eastAsia="宋体"/>
          <w:lang w:val="en-US" w:eastAsia="zh-CN"/>
        </w:rPr>
        <w:t>模式：“归位桩+轮椅”方式管理，确保每台共享设备有序插入到归位桩上锁；</w:t>
      </w:r>
    </w:p>
    <w:p w14:paraId="16537719">
      <w:pPr>
        <w:numPr>
          <w:ilvl w:val="2"/>
          <w:numId w:val="3"/>
        </w:numPr>
        <w:bidi w:val="0"/>
        <w:ind w:left="709" w:leftChars="0" w:hanging="709" w:firstLineChars="0"/>
        <w:rPr>
          <w:rFonts w:hint="eastAsia" w:eastAsia="宋体"/>
          <w:lang w:val="en-US" w:eastAsia="zh-CN"/>
        </w:rPr>
      </w:pPr>
      <w:r>
        <w:rPr>
          <w:rFonts w:hint="eastAsia" w:eastAsia="宋体"/>
          <w:lang w:val="en-US" w:eastAsia="zh-CN"/>
        </w:rPr>
        <w:t>连接方式：非软链设计，强制收纳，归还即有序；</w:t>
      </w:r>
    </w:p>
    <w:p w14:paraId="4C17A549">
      <w:pPr>
        <w:numPr>
          <w:ilvl w:val="2"/>
          <w:numId w:val="3"/>
        </w:numPr>
        <w:bidi w:val="0"/>
        <w:ind w:left="709" w:leftChars="0" w:hanging="709" w:firstLineChars="0"/>
        <w:rPr>
          <w:rFonts w:hint="eastAsia" w:eastAsia="宋体"/>
          <w:lang w:val="en-US" w:eastAsia="zh-CN"/>
        </w:rPr>
      </w:pPr>
      <w:r>
        <w:rPr>
          <w:rFonts w:hint="eastAsia" w:eastAsia="宋体"/>
          <w:lang w:val="en-US" w:eastAsia="zh-CN"/>
        </w:rPr>
        <w:t>组合：支持1桩1椅投放及1+n组合方式，一个桩位对应一个二维码，根据采购方的需求灵活投放、随时调整或扩充；</w:t>
      </w:r>
    </w:p>
    <w:p w14:paraId="6C61D855">
      <w:pPr>
        <w:numPr>
          <w:ilvl w:val="2"/>
          <w:numId w:val="3"/>
        </w:numPr>
        <w:bidi w:val="0"/>
        <w:ind w:left="709" w:leftChars="0" w:hanging="709" w:firstLineChars="0"/>
        <w:rPr>
          <w:rFonts w:hint="eastAsia" w:eastAsia="宋体"/>
          <w:lang w:val="en-US" w:eastAsia="zh-CN"/>
        </w:rPr>
      </w:pPr>
      <w:r>
        <w:rPr>
          <w:rFonts w:hint="eastAsia" w:eastAsia="宋体"/>
          <w:lang w:val="en-US" w:eastAsia="zh-CN"/>
        </w:rPr>
        <w:t>※电源管理：锂电池供电，无需使用交流电，规避外接电源触电安全隐患；</w:t>
      </w:r>
    </w:p>
    <w:p w14:paraId="2D6BDFE5">
      <w:pPr>
        <w:numPr>
          <w:ilvl w:val="2"/>
          <w:numId w:val="3"/>
        </w:numPr>
        <w:bidi w:val="0"/>
        <w:ind w:left="709" w:leftChars="0" w:hanging="709" w:firstLineChars="0"/>
        <w:rPr>
          <w:rFonts w:hint="eastAsia" w:eastAsia="宋体"/>
          <w:lang w:val="en-US" w:eastAsia="zh-CN"/>
        </w:rPr>
      </w:pPr>
      <w:r>
        <w:rPr>
          <w:rFonts w:hint="eastAsia" w:eastAsia="宋体"/>
          <w:lang w:val="en-US" w:eastAsia="zh-CN"/>
        </w:rPr>
        <w:t>归位桩摆放：无需破土动工。</w:t>
      </w:r>
    </w:p>
    <w:p w14:paraId="4C49F24F">
      <w:pPr>
        <w:numPr>
          <w:ilvl w:val="1"/>
          <w:numId w:val="3"/>
        </w:numPr>
        <w:bidi w:val="0"/>
        <w:ind w:left="567" w:leftChars="0" w:hanging="567" w:firstLineChars="0"/>
        <w:rPr>
          <w:rFonts w:hint="default" w:eastAsia="宋体"/>
          <w:lang w:val="en-US" w:eastAsia="zh-CN"/>
        </w:rPr>
      </w:pPr>
      <w:r>
        <w:rPr>
          <w:rFonts w:hint="eastAsia" w:eastAsia="宋体"/>
          <w:lang w:val="en-US" w:eastAsia="zh-CN"/>
        </w:rPr>
        <w:t>租借系统</w:t>
      </w:r>
    </w:p>
    <w:p w14:paraId="28226A6B">
      <w:pPr>
        <w:numPr>
          <w:ilvl w:val="2"/>
          <w:numId w:val="3"/>
        </w:numPr>
        <w:bidi w:val="0"/>
        <w:ind w:left="709" w:leftChars="0" w:hanging="709" w:firstLineChars="0"/>
        <w:rPr>
          <w:rFonts w:hint="eastAsia" w:eastAsia="宋体"/>
          <w:lang w:val="en-US" w:eastAsia="zh-CN"/>
        </w:rPr>
      </w:pPr>
      <w:r>
        <w:rPr>
          <w:rFonts w:hint="eastAsia" w:eastAsia="宋体"/>
          <w:lang w:val="en-US" w:eastAsia="zh-CN"/>
        </w:rPr>
        <w:t xml:space="preserve"> 租借方式：无需安装APP，支持线上扫码租借；</w:t>
      </w:r>
    </w:p>
    <w:p w14:paraId="42392B3B">
      <w:pPr>
        <w:numPr>
          <w:ilvl w:val="2"/>
          <w:numId w:val="3"/>
        </w:numPr>
        <w:bidi w:val="0"/>
        <w:ind w:left="709" w:leftChars="0" w:hanging="709" w:firstLineChars="0"/>
        <w:rPr>
          <w:rFonts w:hint="eastAsia" w:eastAsia="宋体"/>
          <w:lang w:val="en-US" w:eastAsia="zh-CN"/>
        </w:rPr>
      </w:pPr>
      <w:r>
        <w:rPr>
          <w:rFonts w:hint="eastAsia" w:eastAsia="宋体"/>
          <w:lang w:val="en-US" w:eastAsia="zh-CN"/>
        </w:rPr>
        <w:t xml:space="preserve"> 信用免押：支持线上信用免押扫码租借；</w:t>
      </w:r>
    </w:p>
    <w:p w14:paraId="7D92A75F">
      <w:pPr>
        <w:numPr>
          <w:ilvl w:val="2"/>
          <w:numId w:val="3"/>
        </w:numPr>
        <w:bidi w:val="0"/>
        <w:ind w:left="709" w:leftChars="0" w:hanging="709" w:firstLineChars="0"/>
        <w:rPr>
          <w:rFonts w:hint="eastAsia" w:eastAsia="宋体"/>
          <w:lang w:val="en-US" w:eastAsia="zh-CN"/>
        </w:rPr>
      </w:pPr>
      <w:r>
        <w:rPr>
          <w:rFonts w:hint="eastAsia" w:eastAsia="宋体"/>
          <w:lang w:val="en-US" w:eastAsia="zh-CN"/>
        </w:rPr>
        <w:t xml:space="preserve"> ※免费时段：提供当天至少30分钟免费租赁使用；</w:t>
      </w:r>
    </w:p>
    <w:p w14:paraId="42A2A376">
      <w:pPr>
        <w:numPr>
          <w:ilvl w:val="2"/>
          <w:numId w:val="3"/>
        </w:numPr>
        <w:bidi w:val="0"/>
        <w:ind w:left="709" w:leftChars="0" w:hanging="709" w:firstLineChars="0"/>
        <w:rPr>
          <w:rFonts w:hint="eastAsia" w:eastAsia="宋体"/>
          <w:lang w:val="en-US" w:eastAsia="zh-CN"/>
        </w:rPr>
      </w:pPr>
      <w:r>
        <w:rPr>
          <w:rFonts w:hint="eastAsia" w:eastAsia="宋体"/>
          <w:lang w:val="en-US" w:eastAsia="zh-CN"/>
        </w:rPr>
        <w:t xml:space="preserve"> ※无广告净化租赁界面，承诺无广告运营；</w:t>
      </w:r>
    </w:p>
    <w:p w14:paraId="35F2184C">
      <w:pPr>
        <w:numPr>
          <w:ilvl w:val="2"/>
          <w:numId w:val="3"/>
        </w:numPr>
        <w:bidi w:val="0"/>
        <w:ind w:left="709" w:leftChars="0" w:hanging="709" w:firstLineChars="0"/>
        <w:rPr>
          <w:rFonts w:hint="eastAsia" w:eastAsia="宋体"/>
          <w:lang w:val="en-US" w:eastAsia="zh-CN"/>
        </w:rPr>
      </w:pPr>
      <w:r>
        <w:rPr>
          <w:rFonts w:hint="eastAsia" w:eastAsia="宋体"/>
          <w:lang w:val="en-US" w:eastAsia="zh-CN"/>
        </w:rPr>
        <w:t xml:space="preserve"> 租借系统可实现远程升级与迭代管理、远程开锁。</w:t>
      </w:r>
    </w:p>
    <w:p w14:paraId="0C0FC971">
      <w:pPr>
        <w:numPr>
          <w:ilvl w:val="1"/>
          <w:numId w:val="3"/>
        </w:numPr>
        <w:bidi w:val="0"/>
        <w:ind w:left="567" w:leftChars="0" w:hanging="567" w:firstLineChars="0"/>
        <w:rPr>
          <w:rFonts w:hint="eastAsia" w:eastAsia="宋体"/>
          <w:lang w:val="en-US" w:eastAsia="zh-CN"/>
        </w:rPr>
      </w:pPr>
      <w:r>
        <w:rPr>
          <w:rFonts w:hint="eastAsia" w:eastAsia="宋体"/>
          <w:lang w:val="en-US" w:eastAsia="zh-CN"/>
        </w:rPr>
        <w:t>※免费质保：服务期内对出现故障或丢失损坏的轮椅和归位桩进行免费维修、更换和补齐；</w:t>
      </w:r>
    </w:p>
    <w:p w14:paraId="105FBCA8">
      <w:pPr>
        <w:numPr>
          <w:ilvl w:val="1"/>
          <w:numId w:val="3"/>
        </w:numPr>
        <w:bidi w:val="0"/>
        <w:ind w:left="567" w:leftChars="0" w:hanging="567" w:firstLineChars="0"/>
        <w:rPr>
          <w:rFonts w:hint="eastAsia" w:eastAsia="宋体"/>
          <w:lang w:val="en-US" w:eastAsia="zh-CN"/>
        </w:rPr>
      </w:pPr>
      <w:r>
        <w:rPr>
          <w:rFonts w:hint="eastAsia" w:eastAsia="宋体"/>
          <w:lang w:val="en-US" w:eastAsia="zh-CN"/>
        </w:rPr>
        <w:t>※免费送货上门、安装调试，免费培训，负责项目运营中的保洁、消杀等工作；</w:t>
      </w:r>
    </w:p>
    <w:p w14:paraId="1D70AB7F">
      <w:pPr>
        <w:numPr>
          <w:ilvl w:val="1"/>
          <w:numId w:val="3"/>
        </w:numPr>
        <w:bidi w:val="0"/>
        <w:ind w:left="567" w:leftChars="0" w:hanging="567" w:firstLineChars="0"/>
        <w:rPr>
          <w:rFonts w:hint="eastAsia" w:eastAsia="宋体"/>
          <w:lang w:val="en-US" w:eastAsia="zh-CN"/>
        </w:rPr>
      </w:pPr>
      <w:r>
        <w:rPr>
          <w:rFonts w:hint="eastAsia" w:eastAsia="宋体"/>
          <w:lang w:val="en-US" w:eastAsia="zh-CN"/>
        </w:rPr>
        <w:t>※服务期内，设备发生采购人无能力处理和修复的故障时，成交供应商应在接到采购人故障通知后2小时内派技术人员到达现场处理，成交供应商负责其所有费用。成交供应商现场无法修复的，必须立即提供备份产品或临时替代产品；</w:t>
      </w:r>
    </w:p>
    <w:p w14:paraId="01AE40D9">
      <w:pPr>
        <w:numPr>
          <w:ilvl w:val="1"/>
          <w:numId w:val="3"/>
        </w:numPr>
        <w:bidi w:val="0"/>
        <w:ind w:left="567" w:leftChars="0" w:hanging="567" w:firstLineChars="0"/>
        <w:rPr>
          <w:rFonts w:hint="eastAsia" w:eastAsia="宋体"/>
          <w:lang w:val="en-US" w:eastAsia="zh-CN"/>
        </w:rPr>
      </w:pPr>
      <w:r>
        <w:rPr>
          <w:rFonts w:hint="eastAsia" w:eastAsia="宋体"/>
          <w:lang w:val="en-US" w:eastAsia="zh-CN"/>
        </w:rPr>
        <w:t>※供应商在中国大陆地区设有客服中心，提供7*24小时400技术支持，并配备专业客服人员，供应商须在响应文件中提供400技术支持电话和专业客服人员名单及近期至少一个月社保缴纳证明材料复印件。；</w:t>
      </w:r>
    </w:p>
    <w:p w14:paraId="49D38138">
      <w:pPr>
        <w:numPr>
          <w:ilvl w:val="1"/>
          <w:numId w:val="3"/>
        </w:numPr>
        <w:bidi w:val="0"/>
        <w:ind w:left="567" w:leftChars="0" w:hanging="567" w:firstLineChars="0"/>
        <w:rPr>
          <w:rFonts w:hint="eastAsia" w:eastAsia="宋体"/>
          <w:lang w:val="en-US" w:eastAsia="zh-CN"/>
        </w:rPr>
      </w:pPr>
      <w:r>
        <w:rPr>
          <w:rFonts w:hint="eastAsia" w:eastAsia="宋体"/>
          <w:lang w:val="en-US" w:eastAsia="zh-CN"/>
        </w:rPr>
        <w:t>※供应商须配备专业的巡检维护团队（至少含1辅具适配师），人工巡检和在线巡检辅助系统相结合，发现故障及时反馈，排除故障及时上报，供应商须在响应文件中提供巡检维护团队成员信息及相关人员资质复印件、近期至少一个月社保缴纳证明材料复印件。</w:t>
      </w:r>
    </w:p>
    <w:p w14:paraId="6E1B8523">
      <w:pPr>
        <w:numPr>
          <w:ilvl w:val="1"/>
          <w:numId w:val="3"/>
        </w:numPr>
        <w:bidi w:val="0"/>
        <w:ind w:left="567" w:leftChars="0" w:hanging="567" w:firstLineChars="0"/>
        <w:rPr>
          <w:rFonts w:hint="eastAsia" w:eastAsia="宋体"/>
          <w:lang w:val="en-US" w:eastAsia="zh-CN"/>
        </w:rPr>
      </w:pPr>
      <w:r>
        <w:rPr>
          <w:rFonts w:hint="eastAsia" w:eastAsia="宋体"/>
          <w:lang w:val="en-US" w:eastAsia="zh-CN"/>
        </w:rPr>
        <w:t xml:space="preserve"> 技术培训要求：设备安装调试合格后10个工作日内成交供应商派专业运维工程师对采购人的项目相关人员提供免费的正规操作和维保培训，以保证参训人员能正常操作设施设备、初步判断故障、简单维护保养。</w:t>
      </w:r>
    </w:p>
    <w:p w14:paraId="704395FA">
      <w:pPr>
        <w:numPr>
          <w:ilvl w:val="0"/>
          <w:numId w:val="3"/>
        </w:numPr>
        <w:bidi w:val="0"/>
        <w:ind w:left="425" w:leftChars="0" w:hanging="425" w:firstLineChars="0"/>
        <w:outlineLvl w:val="0"/>
        <w:rPr>
          <w:rFonts w:hint="eastAsia" w:eastAsia="宋体"/>
          <w:b/>
          <w:bCs/>
          <w:sz w:val="28"/>
          <w:szCs w:val="28"/>
          <w:lang w:val="en-US" w:eastAsia="zh-CN"/>
        </w:rPr>
      </w:pPr>
      <w:bookmarkStart w:id="9" w:name="_Toc28068"/>
      <w:bookmarkStart w:id="10" w:name="_Toc24671"/>
      <w:r>
        <w:rPr>
          <w:rFonts w:hint="eastAsia" w:eastAsia="宋体"/>
          <w:b/>
          <w:bCs/>
          <w:sz w:val="28"/>
          <w:szCs w:val="28"/>
          <w:lang w:val="en-US" w:eastAsia="zh-CN"/>
        </w:rPr>
        <w:t>商务要求</w:t>
      </w:r>
      <w:bookmarkEnd w:id="9"/>
      <w:bookmarkEnd w:id="10"/>
      <w:r>
        <w:rPr>
          <w:rFonts w:hint="eastAsia" w:ascii="宋体" w:hAnsi="宋体" w:eastAsia="宋体" w:cs="宋体"/>
          <w:b/>
          <w:bCs/>
          <w:sz w:val="28"/>
          <w:szCs w:val="28"/>
          <w:lang w:val="en-US" w:eastAsia="zh-CN"/>
        </w:rPr>
        <w:t>★</w:t>
      </w:r>
    </w:p>
    <w:p w14:paraId="4546C6C6">
      <w:pPr>
        <w:numPr>
          <w:ilvl w:val="1"/>
          <w:numId w:val="3"/>
        </w:numPr>
        <w:bidi w:val="0"/>
        <w:ind w:left="567" w:leftChars="0" w:hanging="567" w:firstLineChars="0"/>
        <w:rPr>
          <w:rFonts w:hint="eastAsia"/>
        </w:rPr>
      </w:pPr>
      <w:r>
        <w:rPr>
          <w:rFonts w:hint="eastAsia"/>
          <w:lang w:val="en-US" w:eastAsia="zh-CN"/>
        </w:rPr>
        <w:t>合同年限：3年</w:t>
      </w:r>
      <w:r>
        <w:rPr>
          <w:rFonts w:hint="eastAsia" w:eastAsia="宋体"/>
          <w:lang w:val="en-US" w:eastAsia="zh-CN"/>
        </w:rPr>
        <w:t>。</w:t>
      </w:r>
    </w:p>
    <w:p w14:paraId="7C23539C">
      <w:pPr>
        <w:numPr>
          <w:ilvl w:val="1"/>
          <w:numId w:val="3"/>
        </w:numPr>
        <w:bidi w:val="0"/>
        <w:ind w:left="567" w:leftChars="0" w:hanging="567" w:firstLineChars="0"/>
        <w:rPr>
          <w:rFonts w:hint="default" w:eastAsia="宋体"/>
          <w:lang w:val="en-US" w:eastAsia="zh-CN"/>
        </w:rPr>
      </w:pPr>
      <w:bookmarkStart w:id="11" w:name="_Toc27123"/>
      <w:bookmarkStart w:id="12" w:name="_Toc3739"/>
      <w:r>
        <w:rPr>
          <w:rFonts w:hint="eastAsia" w:eastAsia="宋体"/>
          <w:lang w:val="en-US" w:eastAsia="zh-CN"/>
        </w:rPr>
        <w:t>支付方式：按年向医院交纳管理费，合同签定后15天内向医院支付第一年管理费，以此类推。</w:t>
      </w:r>
    </w:p>
    <w:bookmarkEnd w:id="11"/>
    <w:bookmarkEnd w:id="12"/>
    <w:p w14:paraId="7577FCB8">
      <w:pPr>
        <w:numPr>
          <w:ilvl w:val="1"/>
          <w:numId w:val="3"/>
        </w:numPr>
        <w:bidi w:val="0"/>
        <w:ind w:left="567" w:leftChars="0" w:hanging="567" w:firstLineChars="0"/>
        <w:rPr>
          <w:rFonts w:hint="eastAsia"/>
          <w:lang w:val="en-US" w:eastAsia="zh-CN"/>
        </w:rPr>
      </w:pPr>
      <w:r>
        <w:rPr>
          <w:rFonts w:hint="eastAsia"/>
          <w:lang w:val="en-US" w:eastAsia="zh-CN"/>
        </w:rPr>
        <w:t>免费提供30台轮椅、1台平车及安装31套归位桩。今后根据轮椅、平车的使用效率，双方可协商调整共享设备数量。</w:t>
      </w:r>
    </w:p>
    <w:p w14:paraId="42234B00">
      <w:pPr>
        <w:numPr>
          <w:ilvl w:val="1"/>
          <w:numId w:val="3"/>
        </w:numPr>
        <w:bidi w:val="0"/>
        <w:ind w:left="567" w:leftChars="0" w:hanging="567" w:firstLineChars="0"/>
        <w:rPr>
          <w:rFonts w:hint="eastAsia"/>
          <w:lang w:val="en-US" w:eastAsia="zh-CN"/>
        </w:rPr>
      </w:pPr>
      <w:r>
        <w:rPr>
          <w:rFonts w:hint="eastAsia"/>
          <w:lang w:val="en-US" w:eastAsia="zh-CN"/>
        </w:rPr>
        <w:t>中标方采用押金方式确保租赁人租赁共享轮椅、平车后能够规范使用和及时归还，中标方通过网络平台代收租赁人押金≤200元。中标方承诺当租赁人申请押金退还时，同步支付宝、微信支付的退款规则，自动退还押金。协议期间，根据共享轮椅的丢失率，双方协商调整轮椅押金价格，押金价格调整另行签订书面协议约定。</w:t>
      </w:r>
    </w:p>
    <w:p w14:paraId="33C611DE">
      <w:pPr>
        <w:numPr>
          <w:ilvl w:val="1"/>
          <w:numId w:val="3"/>
        </w:numPr>
        <w:bidi w:val="0"/>
        <w:ind w:left="567" w:leftChars="0" w:hanging="567" w:firstLineChars="0"/>
        <w:rPr>
          <w:rFonts w:hint="eastAsia"/>
          <w:lang w:val="en-US" w:eastAsia="zh-CN"/>
        </w:rPr>
      </w:pPr>
      <w:r>
        <w:rPr>
          <w:rFonts w:hint="eastAsia"/>
          <w:lang w:val="en-US" w:eastAsia="zh-CN"/>
        </w:rPr>
        <w:t>中标方设备租赁收费标准：患者每天可免费租赁1小时，超出1小时，按小时收费，收费标准：≤2元／小时，租赁费用最高限≤20元／天。如租赁人忘记归还轮椅或平车，由中标方负责提醒追回并告之院方备案。在中标方软件界面，在租赁人开锁租赁前，须提供详细的租赁收费规则说明。租赁费用的结算方式：微信支付、支付宝支付。合同期间，为了提高利用率，双方可协商调整免费时长和有偿租赁收费的价格，由双方另行签订补充协议约定。</w:t>
      </w:r>
    </w:p>
    <w:p w14:paraId="51AEB2FD">
      <w:pPr>
        <w:numPr>
          <w:ilvl w:val="1"/>
          <w:numId w:val="3"/>
        </w:numPr>
        <w:bidi w:val="0"/>
        <w:ind w:left="567" w:leftChars="0" w:hanging="567" w:firstLineChars="0"/>
        <w:rPr>
          <w:rFonts w:hint="eastAsia" w:eastAsia="宋体"/>
          <w:lang w:val="en-US" w:eastAsia="zh-CN"/>
        </w:rPr>
      </w:pPr>
      <w:r>
        <w:rPr>
          <w:rFonts w:hint="eastAsia" w:eastAsia="宋体"/>
          <w:lang w:val="en-US" w:eastAsia="zh-CN"/>
        </w:rPr>
        <w:t>租赁人在租赁设备过程中，由于设备引发的任何纠纷或伤害，均由</w:t>
      </w:r>
      <w:r>
        <w:rPr>
          <w:rFonts w:hint="eastAsia"/>
          <w:lang w:val="en-US" w:eastAsia="zh-CN"/>
        </w:rPr>
        <w:t>中标方</w:t>
      </w:r>
      <w:r>
        <w:rPr>
          <w:rFonts w:hint="eastAsia" w:eastAsia="宋体"/>
          <w:lang w:val="en-US" w:eastAsia="zh-CN"/>
        </w:rPr>
        <w:t>负责处理和承担全部责任。</w:t>
      </w:r>
    </w:p>
    <w:p w14:paraId="4EA2CBA8">
      <w:pPr>
        <w:numPr>
          <w:ilvl w:val="1"/>
          <w:numId w:val="3"/>
        </w:numPr>
        <w:bidi w:val="0"/>
        <w:ind w:left="567" w:leftChars="0" w:hanging="567" w:firstLineChars="0"/>
        <w:rPr>
          <w:rFonts w:hint="eastAsia"/>
        </w:rPr>
      </w:pPr>
      <w:r>
        <w:rPr>
          <w:rFonts w:hint="eastAsia"/>
          <w:lang w:val="en-US" w:eastAsia="zh-CN"/>
        </w:rPr>
        <w:t>院方</w:t>
      </w:r>
      <w:r>
        <w:rPr>
          <w:rFonts w:hint="eastAsia" w:eastAsia="宋体"/>
          <w:lang w:val="en-US" w:eastAsia="zh-CN"/>
        </w:rPr>
        <w:t>对于</w:t>
      </w:r>
      <w:r>
        <w:rPr>
          <w:rFonts w:hint="eastAsia"/>
          <w:lang w:val="en-US" w:eastAsia="zh-CN"/>
        </w:rPr>
        <w:t>中标方</w:t>
      </w:r>
      <w:r>
        <w:rPr>
          <w:rFonts w:hint="eastAsia" w:eastAsia="宋体"/>
          <w:lang w:val="en-US" w:eastAsia="zh-CN"/>
        </w:rPr>
        <w:t>的轮椅以及配套软件平台的灭失，损毁，不承担任何责任。</w:t>
      </w:r>
    </w:p>
    <w:p w14:paraId="259C2267">
      <w:pPr>
        <w:pStyle w:val="2"/>
        <w:numPr>
          <w:ilvl w:val="3"/>
          <w:numId w:val="0"/>
        </w:numPr>
        <w:ind w:left="480" w:leftChars="0"/>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注：采购文件中所有“★”项为实质性条款，不允许负偏离，否则视为无效投标。</w:t>
      </w:r>
    </w:p>
    <w:p w14:paraId="5DA9378D">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其它要求</w:t>
      </w:r>
    </w:p>
    <w:p w14:paraId="682E1B56">
      <w:pPr>
        <w:numPr>
          <w:ilvl w:val="1"/>
          <w:numId w:val="3"/>
        </w:numPr>
        <w:bidi w:val="0"/>
        <w:ind w:left="567" w:leftChars="0" w:hanging="567" w:firstLineChars="0"/>
        <w:rPr>
          <w:rFonts w:hint="eastAsia"/>
        </w:rPr>
      </w:pPr>
      <w:r>
        <w:rPr>
          <w:rFonts w:hint="eastAsia"/>
        </w:rPr>
        <w:t>察看现场</w:t>
      </w:r>
      <w:r>
        <w:rPr>
          <w:rFonts w:hint="eastAsia"/>
          <w:lang w:eastAsia="zh-CN"/>
        </w:rPr>
        <w:t>：</w:t>
      </w:r>
      <w:r>
        <w:rPr>
          <w:rFonts w:hint="eastAsia"/>
        </w:rPr>
        <w:t>有疑问当面与院方沟通，并填写现场踏勘确认书，现场踏勘确认书封装于投标文件内，无现场踏勘确认书的视为无效投标。现场踏勘联系人：</w:t>
      </w:r>
      <w:r>
        <w:rPr>
          <w:rFonts w:hint="eastAsia"/>
          <w:lang w:eastAsia="zh-CN"/>
        </w:rPr>
        <w:t>唐主任</w:t>
      </w:r>
      <w:r>
        <w:rPr>
          <w:rFonts w:hint="eastAsia"/>
        </w:rPr>
        <w:t>，联系电话：</w:t>
      </w:r>
      <w:r>
        <w:rPr>
          <w:rFonts w:hint="eastAsia"/>
          <w:lang w:val="en-US" w:eastAsia="zh-CN"/>
        </w:rPr>
        <w:t>15906102720</w:t>
      </w:r>
      <w:r>
        <w:rPr>
          <w:rFonts w:hint="eastAsia"/>
        </w:rPr>
        <w:t>。</w:t>
      </w:r>
    </w:p>
    <w:p w14:paraId="28120B3D">
      <w:pPr>
        <w:numPr>
          <w:ilvl w:val="0"/>
          <w:numId w:val="3"/>
        </w:numPr>
        <w:bidi w:val="0"/>
        <w:ind w:left="425" w:leftChars="0" w:hanging="425" w:firstLineChars="0"/>
        <w:outlineLvl w:val="0"/>
        <w:rPr>
          <w:rFonts w:hint="eastAsia" w:eastAsia="宋体"/>
          <w:b/>
          <w:bCs/>
          <w:sz w:val="28"/>
          <w:szCs w:val="28"/>
          <w:lang w:val="en-US" w:eastAsia="zh-CN"/>
        </w:rPr>
      </w:pPr>
      <w:bookmarkStart w:id="13" w:name="_Toc10480"/>
      <w:bookmarkStart w:id="14" w:name="_Toc7920"/>
      <w:r>
        <w:rPr>
          <w:rFonts w:hint="eastAsia"/>
          <w:b/>
          <w:bCs/>
          <w:sz w:val="28"/>
          <w:szCs w:val="28"/>
          <w:lang w:val="en-US" w:eastAsia="zh-CN"/>
        </w:rPr>
        <w:t>比选</w:t>
      </w:r>
      <w:r>
        <w:rPr>
          <w:rFonts w:hint="eastAsia" w:eastAsia="宋体"/>
          <w:b/>
          <w:bCs/>
          <w:sz w:val="28"/>
          <w:szCs w:val="28"/>
          <w:lang w:val="en-US" w:eastAsia="zh-CN"/>
        </w:rPr>
        <w:t>时间及地点</w:t>
      </w:r>
      <w:bookmarkEnd w:id="13"/>
      <w:bookmarkEnd w:id="14"/>
    </w:p>
    <w:p w14:paraId="743CF176">
      <w:pPr>
        <w:numPr>
          <w:ilvl w:val="1"/>
          <w:numId w:val="3"/>
        </w:numPr>
        <w:bidi w:val="0"/>
        <w:ind w:left="567" w:leftChars="0" w:hanging="567" w:firstLineChars="0"/>
        <w:rPr>
          <w:rFonts w:hint="eastAsia"/>
        </w:rPr>
      </w:pPr>
      <w:r>
        <w:rPr>
          <w:rFonts w:hint="eastAsia"/>
        </w:rPr>
        <w:t>开标时间：医院通知；</w:t>
      </w:r>
    </w:p>
    <w:p w14:paraId="1A680ABE">
      <w:pPr>
        <w:numPr>
          <w:ilvl w:val="1"/>
          <w:numId w:val="3"/>
        </w:numPr>
        <w:bidi w:val="0"/>
        <w:ind w:left="567" w:leftChars="0" w:hanging="567" w:firstLineChars="0"/>
        <w:rPr>
          <w:rFonts w:hint="eastAsia"/>
        </w:rPr>
      </w:pPr>
      <w:r>
        <w:rPr>
          <w:rFonts w:hint="eastAsia"/>
          <w:lang w:eastAsia="zh-CN"/>
        </w:rPr>
        <w:t>比选</w:t>
      </w:r>
      <w:r>
        <w:rPr>
          <w:rFonts w:hint="eastAsia"/>
        </w:rPr>
        <w:t>地点：院内会议室；</w:t>
      </w:r>
    </w:p>
    <w:p w14:paraId="25DF98AF">
      <w:pPr>
        <w:numPr>
          <w:ilvl w:val="1"/>
          <w:numId w:val="3"/>
        </w:numPr>
        <w:bidi w:val="0"/>
        <w:ind w:left="567" w:leftChars="0" w:hanging="567" w:firstLineChars="0"/>
        <w:rPr>
          <w:rFonts w:hint="eastAsia"/>
        </w:rPr>
      </w:pPr>
      <w:r>
        <w:rPr>
          <w:rFonts w:hint="eastAsia"/>
          <w:lang w:eastAsia="zh-CN"/>
        </w:rPr>
        <w:t>比选</w:t>
      </w:r>
      <w:r>
        <w:rPr>
          <w:rFonts w:hint="eastAsia"/>
        </w:rPr>
        <w:t>方式：</w:t>
      </w:r>
      <w:r>
        <w:rPr>
          <w:rFonts w:hint="eastAsia"/>
          <w:lang w:val="en-US" w:eastAsia="zh-CN"/>
        </w:rPr>
        <w:t>综合评分法</w:t>
      </w:r>
      <w:r>
        <w:rPr>
          <w:rFonts w:hint="eastAsia"/>
        </w:rPr>
        <w:t>；</w:t>
      </w:r>
    </w:p>
    <w:p w14:paraId="432574CC">
      <w:pPr>
        <w:numPr>
          <w:ilvl w:val="1"/>
          <w:numId w:val="3"/>
        </w:numPr>
        <w:bidi w:val="0"/>
        <w:ind w:left="567" w:leftChars="0" w:hanging="567" w:firstLineChars="0"/>
        <w:rPr>
          <w:rFonts w:hint="eastAsia"/>
        </w:rPr>
      </w:pPr>
      <w:r>
        <w:rPr>
          <w:rFonts w:hint="eastAsia"/>
        </w:rPr>
        <w:t>投标文件1式</w:t>
      </w:r>
      <w:r>
        <w:rPr>
          <w:rFonts w:hint="eastAsia"/>
          <w:lang w:val="en-US" w:eastAsia="zh-CN"/>
        </w:rPr>
        <w:t>3份</w:t>
      </w:r>
      <w:r>
        <w:rPr>
          <w:rFonts w:hint="eastAsia"/>
        </w:rPr>
        <w:t>，开标时提供（格式参见第二部分）。</w:t>
      </w:r>
    </w:p>
    <w:p w14:paraId="42D16EFB">
      <w:pPr>
        <w:numPr>
          <w:ilvl w:val="0"/>
          <w:numId w:val="3"/>
        </w:numPr>
        <w:bidi w:val="0"/>
        <w:ind w:left="425" w:leftChars="0" w:hanging="425" w:firstLineChars="0"/>
        <w:outlineLvl w:val="0"/>
        <w:rPr>
          <w:rFonts w:hint="eastAsia" w:eastAsia="宋体"/>
          <w:b/>
          <w:bCs/>
          <w:sz w:val="28"/>
          <w:szCs w:val="28"/>
          <w:lang w:val="en-US" w:eastAsia="zh-CN"/>
        </w:rPr>
      </w:pPr>
      <w:bookmarkStart w:id="15" w:name="_Toc6963"/>
      <w:bookmarkStart w:id="16" w:name="_Toc14655"/>
      <w:r>
        <w:rPr>
          <w:rFonts w:hint="eastAsia" w:eastAsia="宋体"/>
          <w:b/>
          <w:bCs/>
          <w:sz w:val="28"/>
          <w:szCs w:val="28"/>
          <w:lang w:val="en-US" w:eastAsia="zh-CN"/>
        </w:rPr>
        <w:t>投标人报名时提交材料</w:t>
      </w:r>
      <w:bookmarkEnd w:id="15"/>
      <w:bookmarkEnd w:id="16"/>
    </w:p>
    <w:p w14:paraId="3597F8E8">
      <w:pPr>
        <w:numPr>
          <w:ilvl w:val="1"/>
          <w:numId w:val="3"/>
        </w:numPr>
        <w:bidi w:val="0"/>
        <w:ind w:left="567" w:leftChars="0" w:hanging="567" w:firstLineChars="0"/>
        <w:rPr>
          <w:rFonts w:hint="eastAsia"/>
        </w:rPr>
      </w:pPr>
      <w:r>
        <w:rPr>
          <w:rFonts w:hint="eastAsia"/>
        </w:rPr>
        <w:t>营业执照复印件（复印件盖公章）；</w:t>
      </w:r>
    </w:p>
    <w:p w14:paraId="60A8B86B">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p>
    <w:p w14:paraId="2C77661E">
      <w:pPr>
        <w:rPr>
          <w:rFonts w:hint="eastAsia"/>
        </w:rPr>
      </w:pPr>
      <w:r>
        <w:rPr>
          <w:rFonts w:hint="eastAsia"/>
        </w:rPr>
        <w:br w:type="page"/>
      </w:r>
    </w:p>
    <w:p w14:paraId="643107F0">
      <w:pPr>
        <w:pStyle w:val="4"/>
        <w:numPr>
          <w:ilvl w:val="1"/>
          <w:numId w:val="0"/>
        </w:numPr>
        <w:bidi w:val="0"/>
        <w:ind w:left="420" w:leftChars="0"/>
        <w:jc w:val="center"/>
      </w:pPr>
      <w:bookmarkStart w:id="17" w:name="_Toc5584"/>
      <w:r>
        <w:rPr>
          <w:rFonts w:hint="eastAsia"/>
        </w:rPr>
        <w:t>服务合同</w:t>
      </w:r>
    </w:p>
    <w:p w14:paraId="5E911CAC">
      <w:pPr>
        <w:bidi w:val="0"/>
      </w:pPr>
      <w:r>
        <w:rPr>
          <w:rFonts w:hint="eastAsia"/>
        </w:rPr>
        <w:t>甲方：</w:t>
      </w:r>
      <w:r>
        <w:rPr>
          <w:rFonts w:hint="eastAsia"/>
          <w:lang w:val="en-US" w:eastAsia="zh-CN"/>
        </w:rPr>
        <w:t>丹阳市人民医院</w:t>
      </w:r>
      <w:r>
        <w:rPr>
          <w:rFonts w:hint="eastAsia"/>
        </w:rPr>
        <w:t xml:space="preserve">                        </w:t>
      </w:r>
    </w:p>
    <w:p w14:paraId="0BB4C8C2">
      <w:pPr>
        <w:bidi w:val="0"/>
      </w:pPr>
      <w:r>
        <w:rPr>
          <w:rFonts w:hint="eastAsia"/>
        </w:rPr>
        <w:t xml:space="preserve">乙方：                         </w:t>
      </w:r>
    </w:p>
    <w:p w14:paraId="7C8E3322">
      <w:pPr>
        <w:ind w:firstLine="480" w:firstLineChars="200"/>
      </w:pPr>
      <w:r>
        <w:rPr>
          <w:rFonts w:hint="eastAsia"/>
          <w:lang w:val="en-US" w:eastAsia="zh-CN"/>
        </w:rPr>
        <w:t xml:space="preserve">为明确双方的权利与义务，根据《中华人民共和国民法典》及 </w:t>
      </w:r>
      <w:r>
        <w:rPr>
          <w:rFonts w:hint="eastAsia"/>
          <w:u w:val="single"/>
          <w:lang w:val="en-US" w:eastAsia="zh-CN"/>
        </w:rPr>
        <w:t xml:space="preserve"> 丹阳市人民医院自助共享轮椅、平车运营单位遴选 </w:t>
      </w:r>
      <w:r>
        <w:rPr>
          <w:rFonts w:hint="eastAsia"/>
          <w:lang w:val="en-US" w:eastAsia="zh-CN"/>
        </w:rPr>
        <w:t>采购项目（项目编</w:t>
      </w:r>
      <w:r>
        <w:rPr>
          <w:rFonts w:hint="eastAsia" w:eastAsia="宋体"/>
          <w:u w:val="none"/>
          <w:lang w:val="en-US" w:eastAsia="zh-CN"/>
        </w:rPr>
        <w:t>号</w:t>
      </w:r>
      <w:r>
        <w:rPr>
          <w:rFonts w:hint="eastAsia" w:eastAsia="宋体"/>
          <w:u w:val="single"/>
          <w:lang w:val="en-US" w:eastAsia="zh-CN"/>
        </w:rPr>
        <w:t xml:space="preserve"> </w:t>
      </w:r>
      <w:r>
        <w:rPr>
          <w:rFonts w:hint="eastAsia"/>
          <w:u w:val="single"/>
          <w:lang w:val="en-US" w:eastAsia="zh-CN"/>
        </w:rPr>
        <w:t xml:space="preserve"> DRY-CG-2024046</w:t>
      </w:r>
      <w:r>
        <w:rPr>
          <w:rFonts w:hint="eastAsia" w:eastAsia="宋体"/>
          <w:u w:val="single"/>
          <w:lang w:val="en-US" w:eastAsia="zh-CN"/>
        </w:rPr>
        <w:t xml:space="preserve"> </w:t>
      </w:r>
      <w:r>
        <w:rPr>
          <w:rFonts w:hint="eastAsia"/>
          <w:lang w:val="en-US" w:eastAsia="zh-CN"/>
        </w:rPr>
        <w:t>）采购结果，在</w:t>
      </w:r>
      <w:r>
        <w:rPr>
          <w:rFonts w:hint="eastAsia"/>
        </w:rPr>
        <w:t>甲、乙双方在平等、自愿、协商一致的基础上达成如下协议，共同遵守。</w:t>
      </w:r>
    </w:p>
    <w:p w14:paraId="4989B7E3">
      <w:pPr>
        <w:numPr>
          <w:ilvl w:val="0"/>
          <w:numId w:val="4"/>
        </w:numPr>
        <w:bidi w:val="0"/>
        <w:ind w:left="425" w:leftChars="0" w:hanging="425" w:firstLineChars="0"/>
      </w:pPr>
      <w:r>
        <w:rPr>
          <w:rFonts w:hint="eastAsia"/>
        </w:rPr>
        <w:t>服务地点：</w:t>
      </w:r>
      <w:r>
        <w:rPr>
          <w:rFonts w:hint="eastAsia"/>
          <w:lang w:val="en-US" w:eastAsia="zh-CN"/>
        </w:rPr>
        <w:t>丹阳市人民医院</w:t>
      </w:r>
    </w:p>
    <w:p w14:paraId="76BDF0A8">
      <w:pPr>
        <w:numPr>
          <w:ilvl w:val="0"/>
          <w:numId w:val="4"/>
        </w:numPr>
        <w:bidi w:val="0"/>
        <w:ind w:left="425" w:leftChars="0" w:hanging="425" w:firstLineChars="0"/>
      </w:pPr>
      <w:r>
        <w:rPr>
          <w:rFonts w:hint="eastAsia"/>
        </w:rPr>
        <w:t>服务内容：门诊大厅、急诊大厅</w:t>
      </w:r>
      <w:r>
        <w:rPr>
          <w:rFonts w:hint="eastAsia"/>
          <w:lang w:val="en-US" w:eastAsia="zh-CN"/>
        </w:rPr>
        <w:t>提供</w:t>
      </w:r>
      <w:r>
        <w:rPr>
          <w:rFonts w:hint="eastAsia"/>
        </w:rPr>
        <w:t>自助共享轮椅</w:t>
      </w:r>
      <w:r>
        <w:rPr>
          <w:rFonts w:hint="eastAsia"/>
          <w:lang w:eastAsia="zh-CN"/>
        </w:rPr>
        <w:t>、平车</w:t>
      </w:r>
      <w:r>
        <w:rPr>
          <w:rFonts w:hint="eastAsia"/>
        </w:rPr>
        <w:t>服务。</w:t>
      </w:r>
    </w:p>
    <w:p w14:paraId="0F3BFC47">
      <w:pPr>
        <w:numPr>
          <w:ilvl w:val="0"/>
          <w:numId w:val="4"/>
        </w:numPr>
        <w:bidi w:val="0"/>
        <w:ind w:left="425" w:leftChars="0" w:hanging="425" w:firstLineChars="0"/>
      </w:pPr>
      <w:r>
        <w:rPr>
          <w:rFonts w:hint="eastAsia"/>
        </w:rPr>
        <w:t>服务标准：</w:t>
      </w:r>
    </w:p>
    <w:p w14:paraId="1B3394B0">
      <w:pPr>
        <w:numPr>
          <w:ilvl w:val="1"/>
          <w:numId w:val="4"/>
        </w:numPr>
        <w:bidi w:val="0"/>
        <w:ind w:left="567" w:leftChars="0" w:hanging="567" w:firstLineChars="0"/>
        <w:rPr>
          <w:rFonts w:hint="eastAsia" w:eastAsia="宋体"/>
          <w:lang w:val="en-US" w:eastAsia="zh-CN"/>
        </w:rPr>
      </w:pPr>
      <w:r>
        <w:rPr>
          <w:rFonts w:hint="eastAsia" w:eastAsia="宋体"/>
          <w:lang w:val="en-US" w:eastAsia="zh-CN"/>
        </w:rPr>
        <w:t>免费提供30台轮椅、1台平车及安装31套归位桩。今后根据轮椅</w:t>
      </w:r>
      <w:r>
        <w:rPr>
          <w:rFonts w:hint="eastAsia"/>
          <w:lang w:val="en-US" w:eastAsia="zh-CN"/>
        </w:rPr>
        <w:t>、平车</w:t>
      </w:r>
      <w:r>
        <w:rPr>
          <w:rFonts w:hint="eastAsia" w:eastAsia="宋体"/>
          <w:lang w:val="en-US" w:eastAsia="zh-CN"/>
        </w:rPr>
        <w:t>的使用效率，双方可协商调整共享</w:t>
      </w:r>
      <w:r>
        <w:rPr>
          <w:rFonts w:hint="eastAsia"/>
          <w:lang w:val="en-US" w:eastAsia="zh-CN"/>
        </w:rPr>
        <w:t>设备</w:t>
      </w:r>
      <w:r>
        <w:rPr>
          <w:rFonts w:hint="eastAsia" w:eastAsia="宋体"/>
          <w:lang w:val="en-US" w:eastAsia="zh-CN"/>
        </w:rPr>
        <w:t>数量。</w:t>
      </w:r>
    </w:p>
    <w:p w14:paraId="287C1893">
      <w:pPr>
        <w:numPr>
          <w:ilvl w:val="1"/>
          <w:numId w:val="4"/>
        </w:numPr>
        <w:bidi w:val="0"/>
        <w:ind w:left="567" w:leftChars="0" w:hanging="567" w:firstLineChars="0"/>
        <w:rPr>
          <w:rFonts w:hint="eastAsia" w:eastAsia="宋体"/>
          <w:lang w:val="en-US" w:eastAsia="zh-CN"/>
        </w:rPr>
      </w:pPr>
      <w:r>
        <w:rPr>
          <w:rFonts w:hint="eastAsia" w:eastAsia="宋体"/>
          <w:lang w:val="en-US" w:eastAsia="zh-CN"/>
        </w:rPr>
        <w:t>乙方采用押金方式确保租赁人租赁共享轮椅</w:t>
      </w:r>
      <w:r>
        <w:rPr>
          <w:rFonts w:hint="eastAsia"/>
          <w:lang w:val="en-US" w:eastAsia="zh-CN"/>
        </w:rPr>
        <w:t>、平车</w:t>
      </w:r>
      <w:r>
        <w:rPr>
          <w:rFonts w:hint="eastAsia" w:eastAsia="宋体"/>
          <w:lang w:val="en-US" w:eastAsia="zh-CN"/>
        </w:rPr>
        <w:t>后能够规范使用和及时归还，乙方通过网络平台代收租赁人押金</w:t>
      </w:r>
      <w:r>
        <w:rPr>
          <w:rFonts w:hint="eastAsia" w:eastAsia="宋体"/>
          <w:u w:val="single"/>
          <w:lang w:val="en-US" w:eastAsia="zh-CN"/>
        </w:rPr>
        <w:t xml:space="preserve">    </w:t>
      </w:r>
      <w:r>
        <w:rPr>
          <w:rFonts w:hint="eastAsia" w:eastAsia="宋体"/>
          <w:lang w:val="en-US" w:eastAsia="zh-CN"/>
        </w:rPr>
        <w:t>元。乙方承诺当租赁人申请押金退还时，同步支付宝、微信支付的退款规则，</w:t>
      </w:r>
      <w:r>
        <w:rPr>
          <w:rFonts w:hint="eastAsia"/>
          <w:lang w:val="en-US" w:eastAsia="zh-CN"/>
        </w:rPr>
        <w:t>自动</w:t>
      </w:r>
      <w:r>
        <w:rPr>
          <w:rFonts w:hint="eastAsia" w:eastAsia="宋体"/>
          <w:lang w:val="en-US" w:eastAsia="zh-CN"/>
        </w:rPr>
        <w:t>退还押金。协议期间，根据共享轮椅的丢失率，双方协商调整轮椅押金价格，押金价格调整另行签订书面协议约定。</w:t>
      </w:r>
    </w:p>
    <w:p w14:paraId="585086C1">
      <w:pPr>
        <w:numPr>
          <w:ilvl w:val="1"/>
          <w:numId w:val="4"/>
        </w:numPr>
        <w:bidi w:val="0"/>
        <w:ind w:left="567" w:leftChars="0" w:hanging="567" w:firstLineChars="0"/>
        <w:rPr>
          <w:rFonts w:hint="eastAsia" w:eastAsia="宋体"/>
          <w:lang w:val="en-US" w:eastAsia="zh-CN"/>
        </w:rPr>
      </w:pPr>
      <w:r>
        <w:rPr>
          <w:rFonts w:hint="eastAsia" w:eastAsia="宋体"/>
          <w:lang w:val="en-US" w:eastAsia="zh-CN"/>
        </w:rPr>
        <w:t xml:space="preserve">乙方设备租赁收费标准：患者每天可免费租赁 </w:t>
      </w:r>
      <w:r>
        <w:rPr>
          <w:rFonts w:hint="eastAsia"/>
          <w:lang w:val="en-US" w:eastAsia="zh-CN"/>
        </w:rPr>
        <w:t>1</w:t>
      </w:r>
      <w:r>
        <w:rPr>
          <w:rFonts w:hint="eastAsia" w:eastAsia="宋体"/>
          <w:lang w:val="en-US" w:eastAsia="zh-CN"/>
        </w:rPr>
        <w:t>小时，超出</w:t>
      </w:r>
      <w:r>
        <w:rPr>
          <w:rFonts w:hint="eastAsia"/>
          <w:lang w:val="en-US" w:eastAsia="zh-CN"/>
        </w:rPr>
        <w:t>1小时</w:t>
      </w:r>
      <w:r>
        <w:rPr>
          <w:rFonts w:hint="eastAsia" w:eastAsia="宋体"/>
          <w:lang w:val="en-US" w:eastAsia="zh-CN"/>
        </w:rPr>
        <w:t>，按小时收费</w:t>
      </w:r>
      <w:r>
        <w:rPr>
          <w:rFonts w:hint="eastAsia"/>
          <w:lang w:val="en-US" w:eastAsia="zh-CN"/>
        </w:rPr>
        <w:t>，收费标准为：</w:t>
      </w:r>
      <w:r>
        <w:rPr>
          <w:rFonts w:hint="eastAsia" w:eastAsia="宋体"/>
          <w:lang w:val="en-US" w:eastAsia="zh-CN"/>
        </w:rPr>
        <w:t xml:space="preserve"> </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eastAsia="宋体"/>
          <w:lang w:val="en-US" w:eastAsia="zh-CN"/>
        </w:rPr>
        <w:t>元／小时，租赁费用最高限</w:t>
      </w:r>
      <w:r>
        <w:rPr>
          <w:rFonts w:hint="eastAsia" w:eastAsia="宋体"/>
          <w:u w:val="single"/>
          <w:lang w:val="en-US" w:eastAsia="zh-CN"/>
        </w:rPr>
        <w:t xml:space="preserve">   </w:t>
      </w:r>
      <w:r>
        <w:rPr>
          <w:rFonts w:hint="eastAsia" w:eastAsia="宋体"/>
          <w:lang w:val="en-US" w:eastAsia="zh-CN"/>
        </w:rPr>
        <w:t xml:space="preserve"> 元／天。如租赁人忘记归还轮椅</w:t>
      </w:r>
      <w:r>
        <w:rPr>
          <w:rFonts w:hint="eastAsia"/>
          <w:lang w:val="en-US" w:eastAsia="zh-CN"/>
        </w:rPr>
        <w:t>或平车</w:t>
      </w:r>
      <w:r>
        <w:rPr>
          <w:rFonts w:hint="eastAsia" w:eastAsia="宋体"/>
          <w:lang w:val="en-US" w:eastAsia="zh-CN"/>
        </w:rPr>
        <w:t>，由乙方负责提醒追回并告之院方备案。在乙方软件界面，在租赁人开锁租赁前，须提供详细的租赁收费规则说明。租赁费用的结算方式：微信支付、支付宝支付。协议期间，为了提高利用率，双方可协商调整免费时长和有偿租赁收费的价格，由双方另行签订补充协议约定。</w:t>
      </w:r>
    </w:p>
    <w:p w14:paraId="315BC95F">
      <w:pPr>
        <w:numPr>
          <w:ilvl w:val="1"/>
          <w:numId w:val="4"/>
        </w:numPr>
        <w:bidi w:val="0"/>
        <w:ind w:left="567" w:leftChars="0" w:hanging="567" w:firstLineChars="0"/>
        <w:rPr>
          <w:rFonts w:hint="eastAsia" w:eastAsia="宋体"/>
          <w:lang w:val="en-US" w:eastAsia="zh-CN"/>
        </w:rPr>
      </w:pPr>
      <w:r>
        <w:rPr>
          <w:rFonts w:hint="eastAsia" w:eastAsia="宋体"/>
          <w:lang w:val="en-US" w:eastAsia="zh-CN"/>
        </w:rPr>
        <w:t>租赁人在租赁设备过程中，由于设备引发的任何纠纷或伤害，均由乙方负责处理和承担全部责任。</w:t>
      </w:r>
    </w:p>
    <w:p w14:paraId="43365450">
      <w:pPr>
        <w:numPr>
          <w:ilvl w:val="1"/>
          <w:numId w:val="4"/>
        </w:numPr>
        <w:bidi w:val="0"/>
        <w:ind w:left="567" w:leftChars="0" w:hanging="567" w:firstLineChars="0"/>
      </w:pPr>
      <w:r>
        <w:rPr>
          <w:rFonts w:hint="eastAsia" w:eastAsia="宋体"/>
          <w:lang w:val="en-US" w:eastAsia="zh-CN"/>
        </w:rPr>
        <w:t>甲方对于乙方的轮椅以及配套软件平台的灭失，损毁，不承担任何责任。</w:t>
      </w:r>
    </w:p>
    <w:p w14:paraId="0E954CDC">
      <w:pPr>
        <w:numPr>
          <w:ilvl w:val="0"/>
          <w:numId w:val="4"/>
        </w:numPr>
        <w:bidi w:val="0"/>
        <w:ind w:left="425" w:leftChars="0" w:hanging="425" w:firstLineChars="0"/>
      </w:pPr>
      <w:r>
        <w:rPr>
          <w:rFonts w:hint="eastAsia"/>
        </w:rPr>
        <w:t xml:space="preserve">合同期： </w:t>
      </w:r>
      <w:r>
        <w:rPr>
          <w:rFonts w:hint="eastAsia"/>
          <w:u w:val="single"/>
        </w:rPr>
        <w:t xml:space="preserve"> </w:t>
      </w:r>
      <w:r>
        <w:rPr>
          <w:rFonts w:hint="eastAsia"/>
          <w:u w:val="single"/>
          <w:lang w:val="en-US" w:eastAsia="zh-CN"/>
        </w:rPr>
        <w:t>3</w:t>
      </w:r>
      <w:r>
        <w:rPr>
          <w:rFonts w:hint="eastAsia"/>
        </w:rPr>
        <w:t xml:space="preserve">年，自 </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日起，至</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日止。</w:t>
      </w:r>
    </w:p>
    <w:p w14:paraId="3DC7AFF8">
      <w:pPr>
        <w:numPr>
          <w:ilvl w:val="0"/>
          <w:numId w:val="4"/>
        </w:numPr>
        <w:bidi w:val="0"/>
        <w:ind w:left="425" w:leftChars="0" w:hanging="425" w:firstLineChars="0"/>
      </w:pPr>
      <w:r>
        <w:rPr>
          <w:rFonts w:hint="eastAsia"/>
        </w:rPr>
        <w:t>合同价及结算方式</w:t>
      </w:r>
      <w:r>
        <w:rPr>
          <w:rFonts w:hint="eastAsia"/>
          <w:lang w:eastAsia="zh-CN"/>
        </w:rPr>
        <w:t>：</w:t>
      </w:r>
    </w:p>
    <w:p w14:paraId="52898FCF">
      <w:pPr>
        <w:numPr>
          <w:ilvl w:val="1"/>
          <w:numId w:val="4"/>
        </w:numPr>
        <w:bidi w:val="0"/>
        <w:ind w:left="567" w:leftChars="0" w:hanging="567" w:firstLineChars="0"/>
      </w:pPr>
      <w:r>
        <w:rPr>
          <w:rFonts w:hint="eastAsia"/>
        </w:rPr>
        <w:t>合同总价（人民币大写）：</w:t>
      </w:r>
      <w:r>
        <w:rPr>
          <w:rFonts w:hint="eastAsia"/>
          <w:u w:val="single"/>
        </w:rPr>
        <w:t xml:space="preserve">   </w:t>
      </w:r>
      <w:r>
        <w:rPr>
          <w:rFonts w:hint="eastAsia"/>
        </w:rPr>
        <w:t xml:space="preserve"> ；（人民币小写）：</w:t>
      </w:r>
      <w:r>
        <w:rPr>
          <w:rFonts w:hint="eastAsia"/>
          <w:u w:val="single"/>
        </w:rPr>
        <w:t xml:space="preserve">   </w:t>
      </w:r>
      <w:r>
        <w:rPr>
          <w:rFonts w:hint="eastAsia"/>
        </w:rPr>
        <w:t>（元）；</w:t>
      </w:r>
    </w:p>
    <w:p w14:paraId="7FE4D4F3">
      <w:pPr>
        <w:numPr>
          <w:ilvl w:val="1"/>
          <w:numId w:val="4"/>
        </w:numPr>
        <w:bidi w:val="0"/>
        <w:ind w:left="567" w:leftChars="0" w:hanging="567" w:firstLineChars="0"/>
      </w:pPr>
      <w:r>
        <w:rPr>
          <w:rFonts w:hint="eastAsia"/>
        </w:rPr>
        <w:t>结算方式：按年向医院交纳管理费，合同签定后15天内向医院支付第一年管理费，以此类推。</w:t>
      </w:r>
    </w:p>
    <w:p w14:paraId="2774CD32">
      <w:pPr>
        <w:numPr>
          <w:ilvl w:val="0"/>
          <w:numId w:val="4"/>
        </w:numPr>
        <w:bidi w:val="0"/>
        <w:ind w:left="425" w:leftChars="0" w:hanging="425" w:firstLineChars="0"/>
      </w:pPr>
      <w:r>
        <w:rPr>
          <w:rFonts w:hint="eastAsia"/>
        </w:rPr>
        <w:t>有关安全生产和防火等的现场管理约定</w:t>
      </w:r>
      <w:r>
        <w:rPr>
          <w:rFonts w:hint="eastAsia"/>
          <w:lang w:eastAsia="zh-CN"/>
        </w:rPr>
        <w:t>：</w:t>
      </w:r>
    </w:p>
    <w:p w14:paraId="6F10EBFB">
      <w:pPr>
        <w:numPr>
          <w:ilvl w:val="1"/>
          <w:numId w:val="4"/>
        </w:numPr>
        <w:bidi w:val="0"/>
        <w:ind w:left="567" w:leftChars="0" w:hanging="567" w:firstLineChars="0"/>
      </w:pPr>
      <w:r>
        <w:rPr>
          <w:rFonts w:hint="eastAsia"/>
        </w:rPr>
        <w:t>乙方在服务中应采取必要的安全防护和消防措施，保障作业人员及相邻人员的安全，防止相邻房屋的管道堵塞、渗漏水、停电、物品毁坏等事故发生。如遇上述情况发生，属于乙方责任的，由乙方负责修复和赔偿。</w:t>
      </w:r>
    </w:p>
    <w:p w14:paraId="74C30CF7">
      <w:pPr>
        <w:numPr>
          <w:ilvl w:val="1"/>
          <w:numId w:val="4"/>
        </w:numPr>
        <w:bidi w:val="0"/>
        <w:ind w:left="567" w:leftChars="0" w:hanging="567" w:firstLineChars="0"/>
      </w:pPr>
      <w:r>
        <w:rPr>
          <w:rFonts w:hint="eastAsia"/>
        </w:rPr>
        <w:t>乙方如因服务原因需居住在服务现场，日常用水、用电、用燃气等必须注意安全，如乙方因此而造成相关后果，由乙方负责。</w:t>
      </w:r>
    </w:p>
    <w:p w14:paraId="0DF42302">
      <w:pPr>
        <w:numPr>
          <w:ilvl w:val="1"/>
          <w:numId w:val="4"/>
        </w:numPr>
        <w:bidi w:val="0"/>
        <w:ind w:left="567" w:leftChars="0" w:hanging="567" w:firstLineChars="0"/>
      </w:pPr>
      <w:r>
        <w:rPr>
          <w:rFonts w:hint="eastAsia"/>
        </w:rPr>
        <w:t>乙方应做好服务现场管理工作，禁止无关人员进入现场。</w:t>
      </w:r>
    </w:p>
    <w:p w14:paraId="3800B4C7">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14:paraId="126899F1">
      <w:pPr>
        <w:numPr>
          <w:ilvl w:val="1"/>
          <w:numId w:val="4"/>
        </w:numPr>
        <w:bidi w:val="0"/>
        <w:ind w:left="567" w:leftChars="0" w:hanging="567" w:firstLineChars="0"/>
      </w:pPr>
      <w:r>
        <w:rPr>
          <w:rFonts w:hint="eastAsia"/>
        </w:rPr>
        <w:t>乙方交通工具自备，所有安全责任自负，与甲方无涉。</w:t>
      </w:r>
    </w:p>
    <w:p w14:paraId="3F1B01CD">
      <w:pPr>
        <w:numPr>
          <w:ilvl w:val="1"/>
          <w:numId w:val="4"/>
        </w:numPr>
        <w:bidi w:val="0"/>
        <w:ind w:left="567" w:leftChars="0" w:hanging="567" w:firstLineChars="0"/>
      </w:pPr>
      <w:r>
        <w:rPr>
          <w:rFonts w:hint="eastAsia"/>
        </w:rPr>
        <w:t>乙方工作中用水、用电、动火等必须注意安全，如乙方因此而造成相关后果，由乙方负责。</w:t>
      </w:r>
    </w:p>
    <w:p w14:paraId="172EA451">
      <w:pPr>
        <w:numPr>
          <w:ilvl w:val="0"/>
          <w:numId w:val="4"/>
        </w:numPr>
        <w:bidi w:val="0"/>
        <w:ind w:left="425" w:leftChars="0" w:hanging="425" w:firstLineChars="0"/>
      </w:pPr>
      <w:r>
        <w:rPr>
          <w:rFonts w:hint="eastAsia"/>
        </w:rPr>
        <w:t>甲方工作：</w:t>
      </w:r>
    </w:p>
    <w:p w14:paraId="481F0A16">
      <w:pPr>
        <w:numPr>
          <w:ilvl w:val="1"/>
          <w:numId w:val="4"/>
        </w:numPr>
        <w:bidi w:val="0"/>
        <w:ind w:left="567" w:leftChars="0" w:hanging="567" w:firstLineChars="0"/>
      </w:pPr>
      <w:r>
        <w:rPr>
          <w:rFonts w:hint="eastAsia"/>
        </w:rPr>
        <w:t>甲方为乙方提供服务需用的水、电等必备条件，水、电、气费由甲方承担。</w:t>
      </w:r>
    </w:p>
    <w:p w14:paraId="51884D9E">
      <w:pPr>
        <w:numPr>
          <w:ilvl w:val="1"/>
          <w:numId w:val="4"/>
        </w:numPr>
        <w:bidi w:val="0"/>
        <w:ind w:left="567" w:leftChars="0" w:hanging="567" w:firstLineChars="0"/>
      </w:pPr>
      <w:r>
        <w:rPr>
          <w:rFonts w:hint="eastAsia"/>
        </w:rPr>
        <w:t>乙方服务工作中如需临时占用公用部位操作，甲方负责相关协调工作。</w:t>
      </w:r>
    </w:p>
    <w:p w14:paraId="183A5004">
      <w:pPr>
        <w:numPr>
          <w:ilvl w:val="1"/>
          <w:numId w:val="4"/>
        </w:numPr>
        <w:bidi w:val="0"/>
        <w:ind w:left="567" w:leftChars="0" w:hanging="567" w:firstLineChars="0"/>
        <w:rPr>
          <w:rFonts w:hint="eastAsia"/>
        </w:rPr>
      </w:pPr>
      <w:r>
        <w:rPr>
          <w:rFonts w:hint="eastAsia"/>
        </w:rPr>
        <w:t>甲方有权进入服务现场对服务项目的进度与质量进行检查、验收。</w:t>
      </w:r>
    </w:p>
    <w:p w14:paraId="64A21DAA">
      <w:pPr>
        <w:numPr>
          <w:ilvl w:val="0"/>
          <w:numId w:val="4"/>
        </w:numPr>
        <w:bidi w:val="0"/>
        <w:ind w:left="425" w:leftChars="0" w:hanging="425" w:firstLineChars="0"/>
      </w:pPr>
      <w:r>
        <w:rPr>
          <w:rFonts w:hint="eastAsia"/>
        </w:rPr>
        <w:t>乙方工作：</w:t>
      </w:r>
    </w:p>
    <w:p w14:paraId="5A546FCC">
      <w:pPr>
        <w:numPr>
          <w:ilvl w:val="1"/>
          <w:numId w:val="4"/>
        </w:numPr>
        <w:bidi w:val="0"/>
        <w:ind w:left="567" w:leftChars="0" w:hanging="567" w:firstLineChars="0"/>
      </w:pPr>
      <w:r>
        <w:rPr>
          <w:rFonts w:hint="eastAsia"/>
        </w:rPr>
        <w:t>合同签约后，乙方至甲方保卫科办理相关申请（合同期内长期使用），服务工作中如动火，乙方须至甲方保卫科报备（每次）。</w:t>
      </w:r>
    </w:p>
    <w:p w14:paraId="38DD57CE">
      <w:pPr>
        <w:numPr>
          <w:ilvl w:val="1"/>
          <w:numId w:val="4"/>
        </w:numPr>
        <w:bidi w:val="0"/>
        <w:ind w:left="567" w:leftChars="0" w:hanging="567" w:firstLineChars="0"/>
      </w:pPr>
      <w:r>
        <w:rPr>
          <w:rFonts w:hint="eastAsia"/>
        </w:rPr>
        <w:t>对甲方滞留在现场的设备等物品注意保护，如损坏需赔偿。</w:t>
      </w:r>
    </w:p>
    <w:p w14:paraId="0FE2A817">
      <w:pPr>
        <w:numPr>
          <w:ilvl w:val="1"/>
          <w:numId w:val="4"/>
        </w:numPr>
        <w:bidi w:val="0"/>
        <w:ind w:left="567" w:leftChars="0" w:hanging="567" w:firstLineChars="0"/>
      </w:pPr>
      <w:bookmarkStart w:id="18" w:name="_Hlk149034013"/>
      <w:r>
        <w:rPr>
          <w:rFonts w:hint="eastAsia"/>
        </w:rPr>
        <w:t>遵守甲方的规章制度。</w:t>
      </w:r>
    </w:p>
    <w:bookmarkEnd w:id="18"/>
    <w:p w14:paraId="0BB78586">
      <w:pPr>
        <w:numPr>
          <w:ilvl w:val="0"/>
          <w:numId w:val="4"/>
        </w:numPr>
        <w:bidi w:val="0"/>
        <w:ind w:left="425" w:leftChars="0" w:hanging="425" w:firstLineChars="0"/>
      </w:pPr>
      <w:r>
        <w:rPr>
          <w:rFonts w:hint="eastAsia"/>
        </w:rPr>
        <w:t>纠纷处理方式</w:t>
      </w:r>
    </w:p>
    <w:p w14:paraId="102441D6">
      <w:pPr>
        <w:numPr>
          <w:ilvl w:val="1"/>
          <w:numId w:val="4"/>
        </w:numPr>
        <w:bidi w:val="0"/>
        <w:ind w:left="567" w:leftChars="0" w:hanging="567" w:firstLineChars="0"/>
      </w:pPr>
      <w:r>
        <w:rPr>
          <w:rFonts w:hint="eastAsia"/>
        </w:rPr>
        <w:t>因各项事务甲乙双方发生争议时，双方协商解决。协商不成的，</w:t>
      </w:r>
      <w:bookmarkStart w:id="19" w:name="_Hlk149034050"/>
      <w:r>
        <w:rPr>
          <w:rFonts w:hint="eastAsia"/>
        </w:rPr>
        <w:t>向丹阳市人民法院提起诉讼，权利方支出的诉讼费用、律师代理费、保函费、交通费等合理费用由败诉方承担。</w:t>
      </w:r>
    </w:p>
    <w:bookmarkEnd w:id="19"/>
    <w:p w14:paraId="5C11290A">
      <w:pPr>
        <w:numPr>
          <w:ilvl w:val="0"/>
          <w:numId w:val="4"/>
        </w:numPr>
        <w:bidi w:val="0"/>
        <w:ind w:left="425" w:leftChars="0" w:hanging="425" w:firstLineChars="0"/>
      </w:pPr>
      <w:r>
        <w:rPr>
          <w:rFonts w:hint="eastAsia"/>
        </w:rPr>
        <w:t>合同履约</w:t>
      </w:r>
    </w:p>
    <w:p w14:paraId="1D6219EF">
      <w:pPr>
        <w:numPr>
          <w:ilvl w:val="1"/>
          <w:numId w:val="4"/>
        </w:numPr>
        <w:bidi w:val="0"/>
        <w:ind w:left="567" w:leftChars="0" w:hanging="567" w:firstLineChars="0"/>
      </w:pPr>
      <w:r>
        <w:rPr>
          <w:rFonts w:hint="eastAsia"/>
        </w:rPr>
        <w:t>合同经双方签字生效后，双方必须严格遵守，除因不可抗力情形，任何一方不得</w:t>
      </w:r>
      <w:bookmarkStart w:id="20" w:name="_Hlk149034090"/>
      <w:r>
        <w:rPr>
          <w:rFonts w:hint="eastAsia"/>
        </w:rPr>
        <w:t xml:space="preserve">单方面解除或终止合同，否则应向对方支付违约金 </w:t>
      </w:r>
      <w:r>
        <w:rPr>
          <w:rFonts w:hint="eastAsia"/>
          <w:u w:val="single"/>
        </w:rPr>
        <w:t xml:space="preserve">   </w:t>
      </w:r>
      <w:r>
        <w:rPr>
          <w:rFonts w:hint="eastAsia"/>
        </w:rPr>
        <w:t>元。</w:t>
      </w:r>
      <w:bookmarkEnd w:id="20"/>
    </w:p>
    <w:p w14:paraId="768BB7EA">
      <w:pPr>
        <w:numPr>
          <w:ilvl w:val="1"/>
          <w:numId w:val="4"/>
        </w:numPr>
        <w:bidi w:val="0"/>
        <w:ind w:left="567" w:leftChars="0" w:hanging="567" w:firstLineChars="0"/>
      </w:pPr>
      <w:bookmarkStart w:id="21" w:name="_Hlk149034101"/>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14:paraId="6EB89425">
      <w:pPr>
        <w:numPr>
          <w:ilvl w:val="1"/>
          <w:numId w:val="4"/>
        </w:numPr>
        <w:bidi w:val="0"/>
        <w:ind w:left="567" w:leftChars="0" w:hanging="567" w:firstLineChars="0"/>
      </w:pPr>
      <w:bookmarkStart w:id="22" w:name="_Hlk148970987"/>
      <w:r>
        <w:rPr>
          <w:rFonts w:hint="eastAsia"/>
        </w:rPr>
        <w:t xml:space="preserve">本合同不得转包，如有违反，甲方有权解除本合同，同时，乙方应向甲方承担合同总价款 </w:t>
      </w:r>
      <w:r>
        <w:rPr>
          <w:rFonts w:hint="eastAsia"/>
          <w:u w:val="single"/>
        </w:rPr>
        <w:t xml:space="preserve">  </w:t>
      </w:r>
      <w:r>
        <w:rPr>
          <w:rFonts w:hint="eastAsia"/>
        </w:rPr>
        <w:t xml:space="preserve"> %的违约金，给甲方造成损失的，还应赔偿甲方一切经济损失。</w:t>
      </w:r>
      <w:bookmarkEnd w:id="22"/>
    </w:p>
    <w:bookmarkEnd w:id="21"/>
    <w:p w14:paraId="49C43195">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val="en-US" w:eastAsia="zh-CN"/>
        </w:rPr>
        <w:t>:</w:t>
      </w:r>
    </w:p>
    <w:p w14:paraId="0FD42E40">
      <w:pPr>
        <w:numPr>
          <w:ilvl w:val="1"/>
          <w:numId w:val="4"/>
        </w:numPr>
        <w:bidi w:val="0"/>
        <w:ind w:left="567" w:leftChars="0" w:hanging="567" w:firstLineChars="0"/>
        <w:rPr>
          <w:rFonts w:hint="eastAsia" w:eastAsia="宋体"/>
          <w:lang w:val="en-US" w:eastAsia="zh-CN"/>
        </w:rPr>
      </w:pPr>
      <w:r>
        <w:rPr>
          <w:rFonts w:hint="eastAsia" w:eastAsia="宋体"/>
          <w:lang w:val="en-US" w:eastAsia="zh-CN"/>
        </w:rPr>
        <w:t>甲方的采购文件；</w:t>
      </w:r>
    </w:p>
    <w:p w14:paraId="036022BC">
      <w:pPr>
        <w:numPr>
          <w:ilvl w:val="1"/>
          <w:numId w:val="4"/>
        </w:numPr>
        <w:bidi w:val="0"/>
        <w:ind w:left="567" w:leftChars="0" w:hanging="567" w:firstLineChars="0"/>
        <w:rPr>
          <w:rFonts w:hint="eastAsia" w:eastAsia="宋体"/>
          <w:lang w:val="en-US" w:eastAsia="zh-CN"/>
        </w:rPr>
      </w:pPr>
      <w:r>
        <w:rPr>
          <w:rFonts w:hint="eastAsia" w:eastAsia="宋体"/>
          <w:lang w:val="en-US" w:eastAsia="zh-CN"/>
        </w:rPr>
        <w:t>乙方的响应文件；</w:t>
      </w:r>
    </w:p>
    <w:p w14:paraId="1AD4A57F">
      <w:pPr>
        <w:numPr>
          <w:ilvl w:val="1"/>
          <w:numId w:val="4"/>
        </w:numPr>
        <w:bidi w:val="0"/>
        <w:ind w:left="567" w:leftChars="0" w:hanging="567" w:firstLineChars="0"/>
        <w:rPr>
          <w:rFonts w:hint="eastAsia" w:eastAsia="宋体"/>
          <w:lang w:val="en-US" w:eastAsia="zh-CN"/>
        </w:rPr>
      </w:pPr>
      <w:r>
        <w:rPr>
          <w:rFonts w:hint="eastAsia" w:eastAsia="宋体"/>
          <w:lang w:val="en-US" w:eastAsia="zh-CN"/>
        </w:rPr>
        <w:t>乙方的服务承诺；</w:t>
      </w:r>
    </w:p>
    <w:p w14:paraId="506DD306">
      <w:pPr>
        <w:numPr>
          <w:ilvl w:val="1"/>
          <w:numId w:val="4"/>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14:paraId="2B1AEA47">
      <w:pPr>
        <w:numPr>
          <w:ilvl w:val="0"/>
          <w:numId w:val="4"/>
        </w:numPr>
        <w:bidi w:val="0"/>
        <w:ind w:left="425" w:leftChars="0" w:hanging="425" w:firstLineChars="0"/>
      </w:pPr>
      <w:r>
        <w:rPr>
          <w:rFonts w:hint="eastAsia"/>
        </w:rPr>
        <w:t>本合同一式  二  份，甲、乙双方各执一份，合同附件为本合同的组成部分，具有同等的法律效力。</w:t>
      </w:r>
    </w:p>
    <w:p w14:paraId="4ABB89A2">
      <w:pPr>
        <w:bidi w:val="0"/>
      </w:pPr>
    </w:p>
    <w:p w14:paraId="6016600A">
      <w:pPr>
        <w:numPr>
          <w:ilvl w:val="0"/>
          <w:numId w:val="0"/>
        </w:numPr>
        <w:bidi w:val="0"/>
        <w:ind w:leftChars="0"/>
        <w:rPr>
          <w:rFonts w:hint="eastAsia"/>
        </w:rPr>
      </w:pPr>
      <w:r>
        <w:rPr>
          <w:rFonts w:hint="eastAsia"/>
        </w:rPr>
        <w:t>甲方（盖章）：                        乙方（盖章）：</w:t>
      </w:r>
    </w:p>
    <w:p w14:paraId="0A9B213A">
      <w:pPr>
        <w:pStyle w:val="30"/>
        <w:rPr>
          <w:rFonts w:hint="eastAsia"/>
        </w:rPr>
      </w:pPr>
    </w:p>
    <w:p w14:paraId="6FB3E142">
      <w:pPr>
        <w:pStyle w:val="30"/>
      </w:pPr>
    </w:p>
    <w:p w14:paraId="0EC58E30">
      <w:pPr>
        <w:numPr>
          <w:ilvl w:val="0"/>
          <w:numId w:val="0"/>
        </w:numPr>
        <w:bidi w:val="0"/>
        <w:ind w:leftChars="0"/>
        <w:rPr>
          <w:rFonts w:hint="eastAsia"/>
        </w:rPr>
      </w:pPr>
      <w:r>
        <w:rPr>
          <w:rFonts w:hint="eastAsia"/>
        </w:rPr>
        <w:t>甲方代表（签字盖章）：                乙方代表（签字盖章）：</w:t>
      </w:r>
    </w:p>
    <w:p w14:paraId="23618BBC">
      <w:pPr>
        <w:pStyle w:val="30"/>
        <w:rPr>
          <w:rFonts w:hint="eastAsia"/>
        </w:rPr>
      </w:pPr>
    </w:p>
    <w:p w14:paraId="597E304F">
      <w:pPr>
        <w:pStyle w:val="30"/>
      </w:pPr>
    </w:p>
    <w:p w14:paraId="445D8353">
      <w:pPr>
        <w:numPr>
          <w:ilvl w:val="0"/>
          <w:numId w:val="0"/>
        </w:numPr>
        <w:bidi w:val="0"/>
        <w:ind w:leftChars="0"/>
      </w:pPr>
      <w:r>
        <w:rPr>
          <w:rFonts w:hint="eastAsia"/>
        </w:rPr>
        <w:t>日     期：                           日    期：</w:t>
      </w:r>
    </w:p>
    <w:p w14:paraId="55CBE061">
      <w:pPr>
        <w:bidi w:val="0"/>
        <w:rPr>
          <w:rFonts w:hint="eastAsia"/>
        </w:rPr>
      </w:pPr>
    </w:p>
    <w:p w14:paraId="1B60C4C8">
      <w:pPr>
        <w:bidi w:val="0"/>
        <w:rPr>
          <w:rFonts w:hint="eastAsia"/>
        </w:rPr>
      </w:pPr>
    </w:p>
    <w:p w14:paraId="5C9860D3">
      <w:pPr>
        <w:bidi w:val="0"/>
      </w:pPr>
    </w:p>
    <w:p w14:paraId="2F3AC0A4">
      <w:pPr>
        <w:rPr>
          <w:rFonts w:hint="eastAsia" w:ascii="黑体" w:hAnsi="黑体" w:eastAsia="黑体" w:cs="黑体"/>
          <w:sz w:val="30"/>
          <w:szCs w:val="30"/>
        </w:rPr>
      </w:pPr>
      <w:r>
        <w:rPr>
          <w:rFonts w:hint="eastAsia" w:ascii="黑体" w:hAnsi="黑体" w:eastAsia="黑体" w:cs="黑体"/>
          <w:sz w:val="30"/>
          <w:szCs w:val="30"/>
        </w:rPr>
        <w:br w:type="page"/>
      </w:r>
    </w:p>
    <w:p w14:paraId="2AC9236F">
      <w:pPr>
        <w:bidi w:val="0"/>
        <w:jc w:val="center"/>
        <w:rPr>
          <w:rFonts w:hint="eastAsia" w:ascii="黑体" w:hAnsi="黑体" w:eastAsia="黑体" w:cs="黑体"/>
          <w:sz w:val="30"/>
          <w:szCs w:val="30"/>
        </w:rPr>
      </w:pPr>
    </w:p>
    <w:tbl>
      <w:tblPr>
        <w:tblStyle w:val="26"/>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30"/>
        <w:gridCol w:w="6690"/>
        <w:gridCol w:w="689"/>
      </w:tblGrid>
      <w:tr w14:paraId="0022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96" w:type="pct"/>
            <w:gridSpan w:val="2"/>
            <w:noWrap w:val="0"/>
            <w:vAlign w:val="center"/>
          </w:tcPr>
          <w:p w14:paraId="11A2AFF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评审项</w:t>
            </w:r>
          </w:p>
        </w:tc>
        <w:tc>
          <w:tcPr>
            <w:tcW w:w="3538" w:type="pct"/>
            <w:noWrap w:val="0"/>
            <w:vAlign w:val="center"/>
          </w:tcPr>
          <w:p w14:paraId="3316FA9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依据</w:t>
            </w:r>
          </w:p>
        </w:tc>
        <w:tc>
          <w:tcPr>
            <w:tcW w:w="364" w:type="pct"/>
            <w:noWrap w:val="0"/>
            <w:vAlign w:val="center"/>
          </w:tcPr>
          <w:p w14:paraId="31318EB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分值</w:t>
            </w:r>
          </w:p>
        </w:tc>
      </w:tr>
      <w:tr w14:paraId="6750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 w:type="pct"/>
            <w:noWrap w:val="0"/>
            <w:vAlign w:val="center"/>
          </w:tcPr>
          <w:p w14:paraId="58C3D7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价格评价</w:t>
            </w:r>
          </w:p>
        </w:tc>
        <w:tc>
          <w:tcPr>
            <w:tcW w:w="650" w:type="pct"/>
            <w:noWrap w:val="0"/>
            <w:vAlign w:val="center"/>
          </w:tcPr>
          <w:p w14:paraId="4F5018F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报价</w:t>
            </w:r>
          </w:p>
        </w:tc>
        <w:tc>
          <w:tcPr>
            <w:tcW w:w="3538" w:type="pct"/>
            <w:noWrap w:val="0"/>
            <w:vAlign w:val="center"/>
          </w:tcPr>
          <w:p w14:paraId="29E1C9B0">
            <w:pPr>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价格分统一采用</w:t>
            </w:r>
            <w:r>
              <w:rPr>
                <w:rFonts w:hint="eastAsia" w:ascii="仿宋" w:hAnsi="仿宋" w:eastAsia="仿宋" w:cs="仿宋"/>
                <w:color w:val="auto"/>
                <w:sz w:val="21"/>
                <w:szCs w:val="21"/>
                <w:lang w:val="en-US" w:eastAsia="zh-CN"/>
              </w:rPr>
              <w:t>高</w:t>
            </w:r>
            <w:r>
              <w:rPr>
                <w:rFonts w:hint="eastAsia" w:ascii="仿宋" w:hAnsi="仿宋" w:eastAsia="仿宋" w:cs="仿宋"/>
                <w:color w:val="auto"/>
                <w:sz w:val="21"/>
                <w:szCs w:val="21"/>
              </w:rPr>
              <w:t>价优先法计算，即满足</w:t>
            </w:r>
            <w:r>
              <w:rPr>
                <w:rFonts w:hint="eastAsia" w:ascii="仿宋" w:hAnsi="仿宋" w:eastAsia="仿宋" w:cs="仿宋"/>
                <w:color w:val="auto"/>
                <w:sz w:val="21"/>
                <w:szCs w:val="21"/>
                <w:lang w:eastAsia="zh-CN"/>
              </w:rPr>
              <w:t>采购文件</w:t>
            </w:r>
            <w:r>
              <w:rPr>
                <w:rFonts w:hint="eastAsia" w:ascii="仿宋" w:hAnsi="仿宋" w:eastAsia="仿宋" w:cs="仿宋"/>
                <w:color w:val="auto"/>
                <w:sz w:val="21"/>
                <w:szCs w:val="21"/>
              </w:rPr>
              <w:t>要求且</w:t>
            </w:r>
            <w:r>
              <w:rPr>
                <w:rFonts w:hint="eastAsia" w:ascii="仿宋" w:hAnsi="仿宋" w:eastAsia="仿宋" w:cs="仿宋"/>
                <w:bCs/>
                <w:color w:val="auto"/>
                <w:sz w:val="21"/>
                <w:szCs w:val="21"/>
              </w:rPr>
              <w:t>评标价</w:t>
            </w:r>
            <w:r>
              <w:rPr>
                <w:rFonts w:hint="eastAsia" w:ascii="仿宋" w:hAnsi="仿宋" w:eastAsia="仿宋" w:cs="仿宋"/>
                <w:color w:val="auto"/>
                <w:sz w:val="21"/>
                <w:szCs w:val="21"/>
              </w:rPr>
              <w:t>最</w:t>
            </w:r>
            <w:r>
              <w:rPr>
                <w:rFonts w:hint="eastAsia" w:ascii="仿宋" w:hAnsi="仿宋" w:eastAsia="仿宋" w:cs="仿宋"/>
                <w:color w:val="auto"/>
                <w:sz w:val="21"/>
                <w:szCs w:val="21"/>
                <w:lang w:val="en-US" w:eastAsia="zh-CN"/>
              </w:rPr>
              <w:t>高</w:t>
            </w:r>
            <w:r>
              <w:rPr>
                <w:rFonts w:hint="eastAsia" w:ascii="仿宋" w:hAnsi="仿宋" w:eastAsia="仿宋" w:cs="仿宋"/>
                <w:color w:val="auto"/>
                <w:sz w:val="21"/>
                <w:szCs w:val="21"/>
              </w:rPr>
              <w:t>的有效供应商的</w:t>
            </w:r>
            <w:r>
              <w:rPr>
                <w:rFonts w:hint="eastAsia" w:ascii="仿宋" w:hAnsi="仿宋" w:eastAsia="仿宋" w:cs="仿宋"/>
                <w:bCs/>
                <w:color w:val="auto"/>
                <w:sz w:val="21"/>
                <w:szCs w:val="21"/>
              </w:rPr>
              <w:t>评标价</w:t>
            </w:r>
            <w:r>
              <w:rPr>
                <w:rFonts w:hint="eastAsia" w:ascii="仿宋" w:hAnsi="仿宋" w:eastAsia="仿宋" w:cs="仿宋"/>
                <w:color w:val="auto"/>
                <w:sz w:val="21"/>
                <w:szCs w:val="21"/>
              </w:rPr>
              <w:t>为</w:t>
            </w:r>
            <w:r>
              <w:rPr>
                <w:rFonts w:hint="eastAsia" w:ascii="仿宋" w:hAnsi="仿宋" w:eastAsia="仿宋" w:cs="仿宋"/>
                <w:color w:val="auto"/>
                <w:sz w:val="21"/>
                <w:szCs w:val="21"/>
                <w:lang w:eastAsia="zh-CN"/>
              </w:rPr>
              <w:t>评标基准价</w:t>
            </w:r>
            <w:r>
              <w:rPr>
                <w:rFonts w:hint="eastAsia" w:ascii="仿宋" w:hAnsi="仿宋" w:eastAsia="仿宋" w:cs="仿宋"/>
                <w:color w:val="auto"/>
                <w:sz w:val="21"/>
                <w:szCs w:val="21"/>
              </w:rPr>
              <w:t>，其价格分为满分。</w:t>
            </w:r>
          </w:p>
          <w:p w14:paraId="0BEF7ABB">
            <w:pPr>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其他供应商的价格分统一按照下列公式计算：</w:t>
            </w:r>
          </w:p>
          <w:p w14:paraId="7E9C3434">
            <w:pPr>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有效供应商价格分 =（有效供应商</w:t>
            </w:r>
            <w:r>
              <w:rPr>
                <w:rFonts w:hint="eastAsia" w:ascii="仿宋" w:hAnsi="仿宋" w:eastAsia="仿宋" w:cs="仿宋"/>
                <w:bCs/>
                <w:color w:val="auto"/>
                <w:sz w:val="21"/>
                <w:szCs w:val="21"/>
              </w:rPr>
              <w:t>评标价</w:t>
            </w:r>
            <w:r>
              <w:rPr>
                <w:rFonts w:hint="eastAsia" w:ascii="仿宋" w:hAnsi="仿宋" w:eastAsia="仿宋" w:cs="仿宋"/>
                <w:bCs/>
                <w:color w:val="auto"/>
                <w:sz w:val="21"/>
                <w:szCs w:val="21"/>
                <w:lang w:val="en-US" w:eastAsia="zh-CN"/>
              </w:rPr>
              <w:t>/</w:t>
            </w:r>
            <w:r>
              <w:rPr>
                <w:rFonts w:hint="eastAsia" w:ascii="仿宋" w:hAnsi="仿宋" w:eastAsia="仿宋" w:cs="仿宋"/>
                <w:color w:val="auto"/>
                <w:sz w:val="21"/>
                <w:szCs w:val="21"/>
                <w:lang w:eastAsia="zh-CN"/>
              </w:rPr>
              <w:t>评标基准价</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rPr>
              <w:t>分</w:t>
            </w:r>
          </w:p>
        </w:tc>
        <w:tc>
          <w:tcPr>
            <w:tcW w:w="364" w:type="pct"/>
            <w:noWrap w:val="0"/>
            <w:vAlign w:val="center"/>
          </w:tcPr>
          <w:p w14:paraId="5FF89EA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15</w:t>
            </w:r>
          </w:p>
        </w:tc>
      </w:tr>
      <w:tr w14:paraId="3328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445" w:type="pct"/>
            <w:vMerge w:val="restart"/>
            <w:noWrap w:val="0"/>
            <w:vAlign w:val="center"/>
          </w:tcPr>
          <w:p w14:paraId="6DB6997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技术及服务能务评价</w:t>
            </w:r>
          </w:p>
        </w:tc>
        <w:tc>
          <w:tcPr>
            <w:tcW w:w="650" w:type="pct"/>
            <w:noWrap w:val="0"/>
            <w:vAlign w:val="center"/>
          </w:tcPr>
          <w:p w14:paraId="60BAF8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技术服务要求响应</w:t>
            </w:r>
          </w:p>
        </w:tc>
        <w:tc>
          <w:tcPr>
            <w:tcW w:w="3538" w:type="pct"/>
            <w:noWrap w:val="0"/>
            <w:vAlign w:val="center"/>
          </w:tcPr>
          <w:p w14:paraId="17A7699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1"/>
                <w:szCs w:val="21"/>
              </w:rPr>
            </w:pPr>
            <w:bookmarkStart w:id="23" w:name="_Toc15362"/>
            <w:bookmarkStart w:id="24" w:name="_Toc17347"/>
            <w:r>
              <w:rPr>
                <w:rFonts w:hint="eastAsia" w:ascii="仿宋" w:hAnsi="仿宋" w:eastAsia="仿宋" w:cs="仿宋"/>
                <w:sz w:val="21"/>
                <w:szCs w:val="21"/>
                <w:lang w:val="en-US" w:eastAsia="zh-CN"/>
              </w:rPr>
              <w:t>供应商</w:t>
            </w:r>
            <w:r>
              <w:rPr>
                <w:rFonts w:hint="eastAsia" w:ascii="仿宋" w:hAnsi="仿宋" w:eastAsia="仿宋" w:cs="仿宋"/>
                <w:sz w:val="21"/>
                <w:szCs w:val="21"/>
              </w:rPr>
              <w:t>需对招标文件</w:t>
            </w:r>
            <w:r>
              <w:rPr>
                <w:rFonts w:hint="eastAsia" w:ascii="仿宋" w:hAnsi="仿宋" w:eastAsia="仿宋" w:cs="仿宋"/>
                <w:sz w:val="21"/>
                <w:szCs w:val="21"/>
                <w:lang w:val="en-US" w:eastAsia="zh-CN"/>
              </w:rPr>
              <w:t>中技术服务要求</w:t>
            </w:r>
            <w:r>
              <w:rPr>
                <w:rFonts w:hint="eastAsia" w:ascii="仿宋" w:hAnsi="仿宋" w:eastAsia="仿宋" w:cs="仿宋"/>
                <w:sz w:val="21"/>
                <w:szCs w:val="21"/>
              </w:rPr>
              <w:t>的每一项进行响应，并提供“★”项</w:t>
            </w:r>
            <w:r>
              <w:rPr>
                <w:rFonts w:hint="eastAsia" w:ascii="仿宋" w:hAnsi="仿宋" w:eastAsia="仿宋" w:cs="仿宋"/>
                <w:sz w:val="21"/>
                <w:szCs w:val="21"/>
                <w:lang w:eastAsia="zh-CN"/>
              </w:rPr>
              <w:t>“</w:t>
            </w:r>
            <w:r>
              <w:rPr>
                <w:rFonts w:hint="eastAsia" w:ascii="仿宋" w:hAnsi="仿宋" w:eastAsia="仿宋" w:cs="仿宋"/>
                <w:color w:val="auto"/>
                <w:sz w:val="21"/>
                <w:szCs w:val="21"/>
                <w:lang w:eastAsia="zh-CN"/>
              </w:rPr>
              <w:t>※”</w:t>
            </w:r>
            <w:r>
              <w:rPr>
                <w:rFonts w:hint="eastAsia" w:ascii="仿宋" w:hAnsi="仿宋" w:eastAsia="仿宋" w:cs="仿宋"/>
                <w:sz w:val="21"/>
                <w:szCs w:val="21"/>
              </w:rPr>
              <w:t>的</w:t>
            </w:r>
            <w:r>
              <w:rPr>
                <w:rFonts w:hint="eastAsia" w:ascii="仿宋" w:hAnsi="仿宋" w:eastAsia="仿宋" w:cs="仿宋"/>
                <w:sz w:val="21"/>
                <w:szCs w:val="21"/>
                <w:lang w:val="en-US" w:eastAsia="zh-CN"/>
              </w:rPr>
              <w:t>证明材料，证明材料可以是系统截图、产品说明书、第三方检测报告、国家相关部门证书或供应商承诺函</w:t>
            </w:r>
            <w:r>
              <w:rPr>
                <w:rFonts w:hint="eastAsia" w:ascii="仿宋" w:hAnsi="仿宋" w:eastAsia="仿宋" w:cs="仿宋"/>
                <w:sz w:val="21"/>
                <w:szCs w:val="21"/>
              </w:rPr>
              <w:t>。</w:t>
            </w:r>
          </w:p>
          <w:p w14:paraId="6DE3A91B">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color w:val="auto"/>
                <w:sz w:val="21"/>
                <w:szCs w:val="21"/>
                <w:lang w:eastAsia="zh-CN"/>
              </w:rPr>
            </w:pPr>
            <w:r>
              <w:rPr>
                <w:rFonts w:hint="eastAsia" w:ascii="仿宋" w:hAnsi="仿宋" w:eastAsia="仿宋" w:cs="仿宋"/>
                <w:sz w:val="21"/>
                <w:szCs w:val="21"/>
                <w:lang w:val="en-US" w:eastAsia="zh-CN"/>
              </w:rPr>
              <w:t>核心参数</w:t>
            </w:r>
            <w:r>
              <w:rPr>
                <w:rFonts w:hint="eastAsia" w:ascii="仿宋" w:hAnsi="仿宋" w:eastAsia="仿宋" w:cs="仿宋"/>
                <w:sz w:val="21"/>
                <w:szCs w:val="21"/>
              </w:rPr>
              <w:t>“★”项</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不允许负偏离，否则作无效投标处理；</w:t>
            </w:r>
          </w:p>
          <w:p w14:paraId="5514CC19">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重要</w:t>
            </w:r>
            <w:r>
              <w:rPr>
                <w:rFonts w:hint="eastAsia" w:ascii="仿宋" w:hAnsi="仿宋" w:eastAsia="仿宋" w:cs="仿宋"/>
                <w:color w:val="auto"/>
                <w:sz w:val="21"/>
                <w:szCs w:val="21"/>
              </w:rPr>
              <w:t>参数及功能要求（带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号的条款）负偏离每一项扣</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p>
          <w:p w14:paraId="210E6905">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一般参数及功能要求（不带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号的条款）负偏离每一项扣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w:t>
            </w:r>
            <w:bookmarkEnd w:id="23"/>
            <w:bookmarkEnd w:id="24"/>
            <w:r>
              <w:rPr>
                <w:rFonts w:hint="eastAsia" w:ascii="仿宋" w:hAnsi="仿宋" w:eastAsia="仿宋" w:cs="仿宋"/>
                <w:color w:val="auto"/>
                <w:sz w:val="21"/>
                <w:szCs w:val="21"/>
                <w:lang w:eastAsia="zh-CN"/>
              </w:rPr>
              <w:t>。</w:t>
            </w:r>
          </w:p>
        </w:tc>
        <w:tc>
          <w:tcPr>
            <w:tcW w:w="364" w:type="pct"/>
            <w:noWrap w:val="0"/>
            <w:vAlign w:val="center"/>
          </w:tcPr>
          <w:p w14:paraId="2DC415E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29</w:t>
            </w:r>
          </w:p>
        </w:tc>
      </w:tr>
      <w:tr w14:paraId="6B92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 w:type="pct"/>
            <w:vMerge w:val="continue"/>
            <w:noWrap w:val="0"/>
            <w:vAlign w:val="center"/>
          </w:tcPr>
          <w:p w14:paraId="7F438B1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75F1059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实施方案</w:t>
            </w:r>
          </w:p>
        </w:tc>
        <w:tc>
          <w:tcPr>
            <w:tcW w:w="3538" w:type="pct"/>
            <w:noWrap w:val="0"/>
            <w:vAlign w:val="center"/>
          </w:tcPr>
          <w:p w14:paraId="19480BE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包含安装调试方案、免费技术培训方案、运维服务方案、投诉纠纷处理方案、备品备件方案、本地化服务方案等内容</w:t>
            </w:r>
          </w:p>
          <w:p w14:paraId="311BD084">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方案中每提供一项内容且符合采购需求的，得2分；</w:t>
            </w:r>
          </w:p>
          <w:p w14:paraId="2C6009C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sz w:val="21"/>
                <w:szCs w:val="21"/>
                <w:lang w:val="en-US" w:eastAsia="zh-CN"/>
              </w:rPr>
              <w:t>不提供方案或不符合项目需求的，不得分；</w:t>
            </w:r>
          </w:p>
          <w:p w14:paraId="6DD09885">
            <w:pPr>
              <w:pStyle w:val="2"/>
              <w:numPr>
                <w:ilvl w:val="0"/>
                <w:numId w:val="6"/>
              </w:numPr>
              <w:ind w:left="425" w:leftChars="0" w:hanging="425" w:firstLineChars="0"/>
              <w:rPr>
                <w:rFonts w:hint="eastAsia"/>
              </w:rPr>
            </w:pPr>
            <w:r>
              <w:rPr>
                <w:rFonts w:hint="eastAsia" w:ascii="仿宋" w:hAnsi="仿宋" w:eastAsia="仿宋" w:cs="仿宋"/>
                <w:b w:val="0"/>
                <w:bCs w:val="0"/>
                <w:kern w:val="2"/>
                <w:sz w:val="21"/>
                <w:szCs w:val="21"/>
                <w:lang w:val="en-US" w:eastAsia="zh-CN" w:bidi="ar-SA"/>
              </w:rPr>
              <w:t>方案针对性强、操作性强的加1分。</w:t>
            </w:r>
          </w:p>
        </w:tc>
        <w:tc>
          <w:tcPr>
            <w:tcW w:w="364" w:type="pct"/>
            <w:noWrap w:val="0"/>
            <w:vAlign w:val="center"/>
          </w:tcPr>
          <w:p w14:paraId="3DADF7B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13</w:t>
            </w:r>
          </w:p>
        </w:tc>
      </w:tr>
      <w:tr w14:paraId="5E4A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45" w:type="pct"/>
            <w:vMerge w:val="continue"/>
            <w:noWrap w:val="0"/>
            <w:vAlign w:val="center"/>
          </w:tcPr>
          <w:p w14:paraId="364E456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6A35846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扫码方式</w:t>
            </w:r>
          </w:p>
        </w:tc>
        <w:tc>
          <w:tcPr>
            <w:tcW w:w="3538" w:type="pct"/>
            <w:noWrap w:val="0"/>
            <w:vAlign w:val="center"/>
          </w:tcPr>
          <w:p w14:paraId="1AAEBAD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支持线上扫码支持，提供系统截图并加盖投标人公章</w:t>
            </w:r>
          </w:p>
          <w:p w14:paraId="437B72E1">
            <w:pPr>
              <w:keepNext w:val="0"/>
              <w:keepLines w:val="0"/>
              <w:pageBreakBefore w:val="0"/>
              <w:widowControl w:val="0"/>
              <w:numPr>
                <w:ilvl w:val="0"/>
                <w:numId w:val="7"/>
              </w:numPr>
              <w:kinsoku/>
              <w:wordWrap/>
              <w:overflowPunct/>
              <w:topLinePunct w:val="0"/>
              <w:autoSpaceDE/>
              <w:autoSpaceDN/>
              <w:bidi w:val="0"/>
              <w:adjustRightInd/>
              <w:snapToGrid/>
              <w:spacing w:line="300" w:lineRule="auto"/>
              <w:ind w:left="425" w:leftChars="0" w:hanging="425" w:firstLineChars="0"/>
              <w:jc w:val="both"/>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支持微信扫码租借，得2分</w:t>
            </w:r>
          </w:p>
          <w:p w14:paraId="04E1E4F2">
            <w:pPr>
              <w:keepNext w:val="0"/>
              <w:keepLines w:val="0"/>
              <w:pageBreakBefore w:val="0"/>
              <w:widowControl w:val="0"/>
              <w:numPr>
                <w:ilvl w:val="0"/>
                <w:numId w:val="7"/>
              </w:numPr>
              <w:kinsoku/>
              <w:wordWrap/>
              <w:overflowPunct/>
              <w:topLinePunct w:val="0"/>
              <w:autoSpaceDE/>
              <w:autoSpaceDN/>
              <w:bidi w:val="0"/>
              <w:adjustRightInd/>
              <w:snapToGrid/>
              <w:spacing w:line="300" w:lineRule="auto"/>
              <w:ind w:left="425" w:leftChars="0" w:hanging="425"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b w:val="0"/>
                <w:bCs w:val="0"/>
                <w:color w:val="000000"/>
                <w:kern w:val="2"/>
                <w:sz w:val="21"/>
                <w:szCs w:val="21"/>
                <w:lang w:val="en-US" w:eastAsia="zh-CN" w:bidi="ar-SA"/>
              </w:rPr>
              <w:t>支持支付宝扫码租借，得2分</w:t>
            </w:r>
          </w:p>
        </w:tc>
        <w:tc>
          <w:tcPr>
            <w:tcW w:w="364" w:type="pct"/>
            <w:noWrap w:val="0"/>
            <w:vAlign w:val="center"/>
          </w:tcPr>
          <w:p w14:paraId="4AD1AE1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r>
      <w:tr w14:paraId="6334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445" w:type="pct"/>
            <w:vMerge w:val="continue"/>
            <w:noWrap w:val="0"/>
            <w:vAlign w:val="center"/>
          </w:tcPr>
          <w:p w14:paraId="759113D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0BA31E3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信用免押</w:t>
            </w:r>
          </w:p>
        </w:tc>
        <w:tc>
          <w:tcPr>
            <w:tcW w:w="3538" w:type="pct"/>
            <w:noWrap w:val="0"/>
            <w:vAlign w:val="center"/>
          </w:tcPr>
          <w:p w14:paraId="4072CE4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支持线上信用分免押金租借，提供系统截图并加盖投标人公章</w:t>
            </w:r>
          </w:p>
          <w:p w14:paraId="45A6CF76">
            <w:pPr>
              <w:pStyle w:val="2"/>
              <w:pageBreakBefore w:val="0"/>
              <w:widowControl w:val="0"/>
              <w:numPr>
                <w:ilvl w:val="0"/>
                <w:numId w:val="7"/>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支持支付微信信用分免押金租借，得2分</w:t>
            </w:r>
          </w:p>
          <w:p w14:paraId="57C14F32">
            <w:pPr>
              <w:pageBreakBefore w:val="0"/>
              <w:widowControl w:val="0"/>
              <w:numPr>
                <w:ilvl w:val="0"/>
                <w:numId w:val="7"/>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sz w:val="21"/>
                <w:szCs w:val="21"/>
                <w:lang w:val="en-US" w:eastAsia="zh-CN"/>
              </w:rPr>
            </w:pPr>
            <w:r>
              <w:rPr>
                <w:rFonts w:hint="eastAsia" w:ascii="仿宋" w:hAnsi="仿宋" w:eastAsia="仿宋" w:cs="仿宋"/>
                <w:color w:val="auto"/>
                <w:sz w:val="21"/>
                <w:szCs w:val="21"/>
                <w:vertAlign w:val="baseline"/>
                <w:lang w:val="en-US" w:eastAsia="zh-CN"/>
              </w:rPr>
              <w:t>支持支付宝信用分免押金租借，得2分</w:t>
            </w:r>
          </w:p>
        </w:tc>
        <w:tc>
          <w:tcPr>
            <w:tcW w:w="364" w:type="pct"/>
            <w:noWrap w:val="0"/>
            <w:vAlign w:val="center"/>
          </w:tcPr>
          <w:p w14:paraId="32253E5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r>
      <w:tr w14:paraId="1CD5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45" w:type="pct"/>
            <w:vMerge w:val="continue"/>
            <w:noWrap w:val="0"/>
            <w:vAlign w:val="center"/>
          </w:tcPr>
          <w:p w14:paraId="631EE9F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03D167D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计费规则</w:t>
            </w:r>
          </w:p>
        </w:tc>
        <w:tc>
          <w:tcPr>
            <w:tcW w:w="3538" w:type="pct"/>
            <w:noWrap w:val="0"/>
            <w:vAlign w:val="center"/>
          </w:tcPr>
          <w:p w14:paraId="4D6C6F2A">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计费封顶规则，提供系统截图并加盖投标人公章</w:t>
            </w:r>
          </w:p>
          <w:p w14:paraId="411A32B1">
            <w:pPr>
              <w:pStyle w:val="2"/>
              <w:pageBreakBefore w:val="0"/>
              <w:widowControl w:val="0"/>
              <w:numPr>
                <w:ilvl w:val="0"/>
                <w:numId w:val="8"/>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自然日封顶，得2分</w:t>
            </w:r>
          </w:p>
          <w:p w14:paraId="4AD00C56">
            <w:pPr>
              <w:pStyle w:val="2"/>
              <w:pageBreakBefore w:val="0"/>
              <w:widowControl w:val="0"/>
              <w:numPr>
                <w:ilvl w:val="0"/>
                <w:numId w:val="8"/>
              </w:numPr>
              <w:kinsoku/>
              <w:wordWrap/>
              <w:overflowPunct/>
              <w:topLinePunct w:val="0"/>
              <w:autoSpaceDE/>
              <w:autoSpaceDN/>
              <w:bidi w:val="0"/>
              <w:adjustRightInd/>
              <w:snapToGrid/>
              <w:spacing w:line="300" w:lineRule="auto"/>
              <w:ind w:left="425" w:leftChars="0" w:hanging="425" w:firstLineChars="0"/>
              <w:textAlignment w:val="auto"/>
              <w:rPr>
                <w:rFonts w:hint="eastAsia" w:ascii="仿宋" w:hAnsi="仿宋" w:eastAsia="仿宋" w:cs="仿宋"/>
                <w:sz w:val="21"/>
                <w:szCs w:val="21"/>
                <w:lang w:val="en-US" w:eastAsia="zh-CN"/>
              </w:rPr>
            </w:pPr>
            <w:r>
              <w:rPr>
                <w:rFonts w:hint="eastAsia" w:ascii="仿宋" w:hAnsi="仿宋" w:eastAsia="仿宋" w:cs="仿宋"/>
                <w:color w:val="auto"/>
                <w:sz w:val="21"/>
                <w:szCs w:val="21"/>
                <w:vertAlign w:val="baseline"/>
                <w:lang w:val="en-US" w:eastAsia="zh-CN"/>
              </w:rPr>
              <w:t>24小时封顶，得2分</w:t>
            </w:r>
          </w:p>
        </w:tc>
        <w:tc>
          <w:tcPr>
            <w:tcW w:w="364" w:type="pct"/>
            <w:noWrap w:val="0"/>
            <w:vAlign w:val="center"/>
          </w:tcPr>
          <w:p w14:paraId="7A1962D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4</w:t>
            </w:r>
          </w:p>
        </w:tc>
      </w:tr>
      <w:tr w14:paraId="3481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45" w:type="pct"/>
            <w:vMerge w:val="continue"/>
            <w:noWrap w:val="0"/>
            <w:vAlign w:val="center"/>
          </w:tcPr>
          <w:p w14:paraId="3E11006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22C86A3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用户风险</w:t>
            </w:r>
          </w:p>
        </w:tc>
        <w:tc>
          <w:tcPr>
            <w:tcW w:w="3538" w:type="pct"/>
            <w:noWrap w:val="0"/>
            <w:vAlign w:val="center"/>
          </w:tcPr>
          <w:p w14:paraId="682C54A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购买第三方责任事故保险，且在有效期内的</w:t>
            </w:r>
          </w:p>
          <w:p w14:paraId="4911743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保额小于500万元得1分，</w:t>
            </w:r>
          </w:p>
          <w:p w14:paraId="45F3930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sz w:val="21"/>
                <w:szCs w:val="21"/>
                <w:lang w:val="en-US" w:eastAsia="zh-CN"/>
              </w:rPr>
            </w:pPr>
            <w:r>
              <w:rPr>
                <w:rFonts w:hint="eastAsia" w:ascii="仿宋" w:hAnsi="仿宋" w:eastAsia="仿宋" w:cs="仿宋"/>
                <w:b w:val="0"/>
                <w:bCs w:val="0"/>
                <w:color w:val="000000"/>
                <w:kern w:val="2"/>
                <w:sz w:val="21"/>
                <w:szCs w:val="21"/>
                <w:lang w:val="en-US" w:eastAsia="zh-CN" w:bidi="ar-SA"/>
              </w:rPr>
              <w:t>保额500万元及以上得3分</w:t>
            </w:r>
          </w:p>
        </w:tc>
        <w:tc>
          <w:tcPr>
            <w:tcW w:w="364" w:type="pct"/>
            <w:noWrap w:val="0"/>
            <w:vAlign w:val="center"/>
          </w:tcPr>
          <w:p w14:paraId="0A9B897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3</w:t>
            </w:r>
          </w:p>
        </w:tc>
      </w:tr>
      <w:tr w14:paraId="60C8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5" w:type="pct"/>
            <w:vMerge w:val="continue"/>
            <w:noWrap w:val="0"/>
            <w:vAlign w:val="center"/>
          </w:tcPr>
          <w:p w14:paraId="09512BC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5021045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押金风险</w:t>
            </w:r>
          </w:p>
        </w:tc>
        <w:tc>
          <w:tcPr>
            <w:tcW w:w="3538" w:type="pct"/>
            <w:noWrap w:val="0"/>
            <w:vAlign w:val="center"/>
          </w:tcPr>
          <w:p w14:paraId="2D40DE5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bCs w:val="0"/>
                <w:color w:val="auto"/>
                <w:sz w:val="21"/>
                <w:szCs w:val="21"/>
                <w:lang w:val="en-US" w:eastAsia="zh-CN"/>
              </w:rPr>
              <w:t>开设共享押金专用账户，由第三方监管，提供</w:t>
            </w:r>
            <w:r>
              <w:rPr>
                <w:rFonts w:hint="eastAsia" w:ascii="仿宋" w:hAnsi="仿宋" w:eastAsia="仿宋" w:cs="仿宋"/>
                <w:color w:val="auto"/>
                <w:sz w:val="21"/>
                <w:szCs w:val="21"/>
                <w:vertAlign w:val="baseline"/>
                <w:lang w:val="en-US" w:eastAsia="zh-CN"/>
              </w:rPr>
              <w:t>账户协议并加盖投标人公章。</w:t>
            </w:r>
          </w:p>
        </w:tc>
        <w:tc>
          <w:tcPr>
            <w:tcW w:w="364" w:type="pct"/>
            <w:noWrap w:val="0"/>
            <w:vAlign w:val="center"/>
          </w:tcPr>
          <w:p w14:paraId="5D945E4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2</w:t>
            </w:r>
          </w:p>
        </w:tc>
      </w:tr>
      <w:tr w14:paraId="2CBD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45" w:type="pct"/>
            <w:vMerge w:val="continue"/>
            <w:noWrap w:val="0"/>
            <w:vAlign w:val="center"/>
          </w:tcPr>
          <w:p w14:paraId="0B3002E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2EDD8C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数据风险</w:t>
            </w:r>
          </w:p>
        </w:tc>
        <w:tc>
          <w:tcPr>
            <w:tcW w:w="3538" w:type="pct"/>
            <w:noWrap w:val="0"/>
            <w:vAlign w:val="center"/>
          </w:tcPr>
          <w:p w14:paraId="22153C8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信息系统安全等级保护达2级或以上的，提供</w:t>
            </w:r>
            <w:r>
              <w:rPr>
                <w:rFonts w:hint="eastAsia" w:ascii="仿宋" w:hAnsi="仿宋" w:eastAsia="仿宋" w:cs="仿宋"/>
                <w:color w:val="auto"/>
                <w:sz w:val="21"/>
                <w:szCs w:val="21"/>
                <w:vertAlign w:val="baseline"/>
                <w:lang w:val="en-US" w:eastAsia="zh-CN"/>
              </w:rPr>
              <w:t>等保证明材料。</w:t>
            </w:r>
          </w:p>
        </w:tc>
        <w:tc>
          <w:tcPr>
            <w:tcW w:w="364" w:type="pct"/>
            <w:noWrap w:val="0"/>
            <w:vAlign w:val="center"/>
          </w:tcPr>
          <w:p w14:paraId="4FF2818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3</w:t>
            </w:r>
          </w:p>
        </w:tc>
      </w:tr>
      <w:tr w14:paraId="0A4E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445" w:type="pct"/>
            <w:vMerge w:val="continue"/>
            <w:noWrap w:val="0"/>
            <w:vAlign w:val="center"/>
          </w:tcPr>
          <w:p w14:paraId="57C5448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p>
        </w:tc>
        <w:tc>
          <w:tcPr>
            <w:tcW w:w="650" w:type="pct"/>
            <w:noWrap w:val="0"/>
            <w:vAlign w:val="center"/>
          </w:tcPr>
          <w:p w14:paraId="4444407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代借代还</w:t>
            </w:r>
          </w:p>
        </w:tc>
        <w:tc>
          <w:tcPr>
            <w:tcW w:w="3538" w:type="pct"/>
            <w:noWrap w:val="0"/>
            <w:vAlign w:val="center"/>
          </w:tcPr>
          <w:p w14:paraId="2DED920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支持他人代借借还，提供解决方案或系统截图，满足得1分。</w:t>
            </w:r>
          </w:p>
          <w:p w14:paraId="4836AE63">
            <w:pPr>
              <w:pStyle w:val="2"/>
              <w:pageBreakBefore w:val="0"/>
              <w:widowControl w:val="0"/>
              <w:numPr>
                <w:ilvl w:val="3"/>
                <w:numId w:val="0"/>
              </w:numPr>
              <w:kinsoku/>
              <w:wordWrap/>
              <w:overflowPunct/>
              <w:topLinePunct w:val="0"/>
              <w:autoSpaceDE/>
              <w:autoSpaceDN/>
              <w:bidi w:val="0"/>
              <w:adjustRightInd/>
              <w:snapToGrid/>
              <w:spacing w:line="300" w:lineRule="auto"/>
              <w:ind w:leftChars="0"/>
              <w:textAlignment w:val="auto"/>
              <w:rPr>
                <w:rFonts w:hint="eastAsia" w:ascii="仿宋" w:hAnsi="仿宋" w:eastAsia="仿宋" w:cs="仿宋"/>
                <w:sz w:val="21"/>
                <w:szCs w:val="21"/>
                <w:lang w:val="en-US" w:eastAsia="zh-CN"/>
              </w:rPr>
            </w:pPr>
            <w:r>
              <w:rPr>
                <w:rFonts w:hint="eastAsia" w:ascii="仿宋" w:hAnsi="仿宋" w:eastAsia="仿宋" w:cs="仿宋"/>
                <w:color w:val="auto"/>
                <w:kern w:val="2"/>
                <w:sz w:val="21"/>
                <w:szCs w:val="21"/>
                <w:vertAlign w:val="baseline"/>
                <w:lang w:val="en-US" w:eastAsia="zh-CN" w:bidi="ar-SA"/>
              </w:rPr>
              <w:t>支持医护人员及特殊群体免费使用，提供</w:t>
            </w:r>
            <w:r>
              <w:rPr>
                <w:rFonts w:hint="eastAsia" w:ascii="仿宋" w:hAnsi="仿宋" w:eastAsia="仿宋" w:cs="仿宋"/>
                <w:color w:val="auto"/>
                <w:sz w:val="21"/>
                <w:szCs w:val="21"/>
                <w:vertAlign w:val="baseline"/>
                <w:lang w:val="en-US" w:eastAsia="zh-CN"/>
              </w:rPr>
              <w:t>解决方案或系统截图，满足得1分。</w:t>
            </w:r>
          </w:p>
        </w:tc>
        <w:tc>
          <w:tcPr>
            <w:tcW w:w="364" w:type="pct"/>
            <w:noWrap w:val="0"/>
            <w:vAlign w:val="center"/>
          </w:tcPr>
          <w:p w14:paraId="59D2C2B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r>
      <w:tr w14:paraId="7C91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45" w:type="pct"/>
            <w:vMerge w:val="continue"/>
            <w:noWrap w:val="0"/>
            <w:vAlign w:val="center"/>
          </w:tcPr>
          <w:p w14:paraId="6A6AC8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79775FF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在线预约</w:t>
            </w:r>
          </w:p>
        </w:tc>
        <w:tc>
          <w:tcPr>
            <w:tcW w:w="3538" w:type="pct"/>
            <w:noWrap w:val="0"/>
            <w:vAlign w:val="center"/>
          </w:tcPr>
          <w:p w14:paraId="2F01F37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在线预约、到院自提，提供</w:t>
            </w:r>
            <w:r>
              <w:rPr>
                <w:rFonts w:hint="eastAsia" w:ascii="仿宋" w:hAnsi="仿宋" w:eastAsia="仿宋" w:cs="仿宋"/>
                <w:color w:val="auto"/>
                <w:kern w:val="2"/>
                <w:sz w:val="21"/>
                <w:szCs w:val="21"/>
                <w:vertAlign w:val="baseline"/>
                <w:lang w:val="en-US" w:eastAsia="zh-CN" w:bidi="ar-SA"/>
              </w:rPr>
              <w:t>系统截图，满足得2分。</w:t>
            </w:r>
          </w:p>
        </w:tc>
        <w:tc>
          <w:tcPr>
            <w:tcW w:w="364" w:type="pct"/>
            <w:noWrap w:val="0"/>
            <w:vAlign w:val="center"/>
          </w:tcPr>
          <w:p w14:paraId="20A83BA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r>
      <w:tr w14:paraId="64B8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45" w:type="pct"/>
            <w:vMerge w:val="continue"/>
            <w:noWrap w:val="0"/>
            <w:vAlign w:val="center"/>
          </w:tcPr>
          <w:p w14:paraId="6E67EF7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4F9E52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免费时段</w:t>
            </w:r>
          </w:p>
        </w:tc>
        <w:tc>
          <w:tcPr>
            <w:tcW w:w="3538" w:type="pct"/>
            <w:noWrap w:val="0"/>
            <w:vAlign w:val="center"/>
          </w:tcPr>
          <w:p w14:paraId="2743736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可在24小时内分段累积，提供</w:t>
            </w:r>
            <w:r>
              <w:rPr>
                <w:rFonts w:hint="eastAsia" w:ascii="仿宋" w:hAnsi="仿宋" w:eastAsia="仿宋" w:cs="仿宋"/>
                <w:color w:val="auto"/>
                <w:kern w:val="2"/>
                <w:sz w:val="21"/>
                <w:szCs w:val="21"/>
                <w:vertAlign w:val="baseline"/>
                <w:lang w:val="en-US" w:eastAsia="zh-CN" w:bidi="ar-SA"/>
              </w:rPr>
              <w:t>系统截图，满足得2分。</w:t>
            </w:r>
          </w:p>
        </w:tc>
        <w:tc>
          <w:tcPr>
            <w:tcW w:w="364" w:type="pct"/>
            <w:noWrap w:val="0"/>
            <w:vAlign w:val="center"/>
          </w:tcPr>
          <w:p w14:paraId="0184D78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r>
      <w:tr w14:paraId="30C4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445" w:type="pct"/>
            <w:vMerge w:val="restart"/>
            <w:noWrap w:val="0"/>
            <w:vAlign w:val="center"/>
          </w:tcPr>
          <w:p w14:paraId="1E7223D7">
            <w:pPr>
              <w:pageBreakBefore w:val="0"/>
              <w:widowControl w:val="0"/>
              <w:kinsoku/>
              <w:wordWrap/>
              <w:overflowPunct/>
              <w:topLinePunct w:val="0"/>
              <w:autoSpaceDE/>
              <w:autoSpaceDN/>
              <w:bidi w:val="0"/>
              <w:adjustRightInd/>
              <w:snapToGrid/>
              <w:spacing w:line="300" w:lineRule="auto"/>
              <w:ind w:left="0" w:leftChars="0" w:firstLine="0"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商务及资信</w:t>
            </w:r>
          </w:p>
          <w:p w14:paraId="1846208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35FE3F58">
            <w:pPr>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企业能力评价</w:t>
            </w:r>
          </w:p>
          <w:p w14:paraId="1947BE4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3538" w:type="pct"/>
            <w:noWrap w:val="0"/>
            <w:vAlign w:val="center"/>
          </w:tcPr>
          <w:p w14:paraId="5CBDE284">
            <w:pPr>
              <w:pStyle w:val="13"/>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供应商</w:t>
            </w:r>
            <w:r>
              <w:rPr>
                <w:rFonts w:hint="eastAsia" w:ascii="仿宋" w:hAnsi="仿宋" w:eastAsia="仿宋" w:cs="仿宋"/>
                <w:color w:val="000000"/>
                <w:sz w:val="21"/>
                <w:szCs w:val="21"/>
              </w:rPr>
              <w:t>人须提供</w:t>
            </w:r>
            <w:r>
              <w:rPr>
                <w:rFonts w:hint="eastAsia" w:ascii="仿宋" w:hAnsi="仿宋" w:eastAsia="仿宋" w:cs="仿宋"/>
                <w:color w:val="000000"/>
                <w:sz w:val="21"/>
                <w:szCs w:val="21"/>
                <w:lang w:val="en-US" w:eastAsia="zh-CN"/>
              </w:rPr>
              <w:t>有效期内的</w:t>
            </w: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质量管理体系认证证书 、职业健康安全管理体系认证证书、环境管理体系认证证书，认证范围须包含：医疗器械租赁每提供一个证书得2分，本项最高6分。</w:t>
            </w:r>
          </w:p>
          <w:p w14:paraId="6466042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sz w:val="21"/>
                <w:szCs w:val="21"/>
                <w:lang w:val="en-US" w:eastAsia="zh-CN"/>
              </w:rPr>
              <w:t>注：以上证书需提供证书复印件和全国认证认可的信息公告服务平台官网证书查询截图。</w:t>
            </w:r>
          </w:p>
        </w:tc>
        <w:tc>
          <w:tcPr>
            <w:tcW w:w="364" w:type="pct"/>
            <w:noWrap w:val="0"/>
            <w:vAlign w:val="center"/>
          </w:tcPr>
          <w:p w14:paraId="77EE7FF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w:t>
            </w:r>
          </w:p>
        </w:tc>
      </w:tr>
      <w:tr w14:paraId="31ED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5" w:type="pct"/>
            <w:vMerge w:val="continue"/>
            <w:noWrap w:val="0"/>
            <w:vAlign w:val="center"/>
          </w:tcPr>
          <w:p w14:paraId="367485F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36853F6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bCs w:val="0"/>
                <w:color w:val="auto"/>
                <w:sz w:val="21"/>
                <w:szCs w:val="21"/>
                <w:lang w:val="en-US" w:eastAsia="zh-CN"/>
              </w:rPr>
              <w:t>软件</w:t>
            </w:r>
            <w:r>
              <w:rPr>
                <w:rFonts w:hint="eastAsia" w:ascii="仿宋" w:hAnsi="仿宋" w:eastAsia="仿宋" w:cs="仿宋"/>
                <w:b w:val="0"/>
                <w:bCs w:val="0"/>
                <w:color w:val="auto"/>
                <w:sz w:val="21"/>
                <w:szCs w:val="21"/>
              </w:rPr>
              <w:t>著作权</w:t>
            </w:r>
          </w:p>
        </w:tc>
        <w:tc>
          <w:tcPr>
            <w:tcW w:w="3538" w:type="pct"/>
            <w:noWrap w:val="0"/>
            <w:vAlign w:val="center"/>
          </w:tcPr>
          <w:p w14:paraId="6410B59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eastAsia="zh-CN"/>
              </w:rPr>
              <w:t>供应商</w:t>
            </w:r>
            <w:r>
              <w:rPr>
                <w:rFonts w:hint="eastAsia" w:ascii="仿宋" w:hAnsi="仿宋" w:eastAsia="仿宋" w:cs="仿宋"/>
                <w:b w:val="0"/>
                <w:bCs w:val="0"/>
                <w:color w:val="auto"/>
                <w:sz w:val="21"/>
                <w:szCs w:val="21"/>
                <w:lang w:val="en-US" w:eastAsia="zh-CN"/>
              </w:rPr>
              <w:t>具有与本项目共享轮椅相关的专利或计算机软件</w:t>
            </w:r>
            <w:r>
              <w:rPr>
                <w:rFonts w:hint="eastAsia" w:ascii="仿宋" w:hAnsi="仿宋" w:eastAsia="仿宋" w:cs="仿宋"/>
                <w:b w:val="0"/>
                <w:bCs w:val="0"/>
                <w:color w:val="auto"/>
                <w:sz w:val="21"/>
                <w:szCs w:val="21"/>
              </w:rPr>
              <w:t>著作权登记证书的</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每项</w:t>
            </w:r>
            <w:r>
              <w:rPr>
                <w:rFonts w:hint="eastAsia" w:ascii="仿宋" w:hAnsi="仿宋" w:eastAsia="仿宋" w:cs="仿宋"/>
                <w:b w:val="0"/>
                <w:bCs w:val="0"/>
                <w:color w:val="auto"/>
                <w:sz w:val="21"/>
                <w:szCs w:val="21"/>
              </w:rPr>
              <w:t>得</w:t>
            </w: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分</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满分4分。</w:t>
            </w:r>
          </w:p>
          <w:p w14:paraId="3E96576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val="0"/>
                <w:color w:val="auto"/>
                <w:sz w:val="21"/>
                <w:szCs w:val="21"/>
                <w:lang w:val="en-US" w:eastAsia="zh-CN"/>
              </w:rPr>
              <w:t>供应商在响应文件中提供有效证明材料复印件并加盖供应商公章。</w:t>
            </w:r>
          </w:p>
        </w:tc>
        <w:tc>
          <w:tcPr>
            <w:tcW w:w="364" w:type="pct"/>
            <w:noWrap w:val="0"/>
            <w:vAlign w:val="center"/>
          </w:tcPr>
          <w:p w14:paraId="0872629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r>
      <w:tr w14:paraId="278C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45" w:type="pct"/>
            <w:vMerge w:val="continue"/>
            <w:noWrap w:val="0"/>
            <w:vAlign w:val="center"/>
          </w:tcPr>
          <w:p w14:paraId="69CF7C9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3A6458A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bCs w:val="0"/>
                <w:color w:val="auto"/>
                <w:sz w:val="21"/>
                <w:szCs w:val="21"/>
              </w:rPr>
              <w:t>增值</w:t>
            </w:r>
            <w:r>
              <w:rPr>
                <w:rFonts w:hint="eastAsia" w:ascii="仿宋" w:hAnsi="仿宋" w:eastAsia="仿宋" w:cs="仿宋"/>
                <w:b w:val="0"/>
                <w:bCs w:val="0"/>
                <w:color w:val="auto"/>
                <w:sz w:val="21"/>
                <w:szCs w:val="21"/>
                <w:lang w:val="en-US" w:eastAsia="zh-CN"/>
              </w:rPr>
              <w:t>许可</w:t>
            </w:r>
          </w:p>
        </w:tc>
        <w:tc>
          <w:tcPr>
            <w:tcW w:w="3538" w:type="pct"/>
            <w:noWrap w:val="0"/>
            <w:vAlign w:val="center"/>
          </w:tcPr>
          <w:p w14:paraId="7B6D079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供应商具备有效的</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rPr>
              <w:fldChar w:fldCharType="begin"/>
            </w:r>
            <w:r>
              <w:rPr>
                <w:rFonts w:hint="eastAsia" w:ascii="仿宋" w:hAnsi="仿宋" w:eastAsia="仿宋" w:cs="仿宋"/>
                <w:b w:val="0"/>
                <w:bCs w:val="0"/>
                <w:color w:val="auto"/>
                <w:sz w:val="21"/>
                <w:szCs w:val="21"/>
              </w:rPr>
              <w:instrText xml:space="preserve"> HYPERLINK "https://baike.so.com/doc/3294463-3470396.html" \t "https://baike.so.com/doc/_blank" </w:instrText>
            </w:r>
            <w:r>
              <w:rPr>
                <w:rFonts w:hint="eastAsia" w:ascii="仿宋" w:hAnsi="仿宋" w:eastAsia="仿宋" w:cs="仿宋"/>
                <w:b w:val="0"/>
                <w:bCs w:val="0"/>
                <w:color w:val="auto"/>
                <w:sz w:val="21"/>
                <w:szCs w:val="21"/>
              </w:rPr>
              <w:fldChar w:fldCharType="separate"/>
            </w:r>
            <w:r>
              <w:rPr>
                <w:rFonts w:hint="eastAsia" w:ascii="仿宋" w:hAnsi="仿宋" w:eastAsia="仿宋" w:cs="仿宋"/>
                <w:b w:val="0"/>
                <w:bCs w:val="0"/>
                <w:color w:val="auto"/>
                <w:sz w:val="21"/>
                <w:szCs w:val="21"/>
              </w:rPr>
              <w:t>增值电信业务经营许可证</w:t>
            </w:r>
            <w:r>
              <w:rPr>
                <w:rFonts w:hint="eastAsia" w:ascii="仿宋" w:hAnsi="仿宋" w:eastAsia="仿宋" w:cs="仿宋"/>
                <w:b w:val="0"/>
                <w:bCs w:val="0"/>
                <w:color w:val="auto"/>
                <w:sz w:val="21"/>
                <w:szCs w:val="21"/>
              </w:rPr>
              <w:fldChar w:fldCharType="end"/>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的，得2分。</w:t>
            </w:r>
          </w:p>
          <w:p w14:paraId="6F56A4D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lang w:val="en-US" w:eastAsia="zh-CN"/>
              </w:rPr>
              <w:t>供应商在响应文件中提供有效证明材料复印件并加盖供应商公章。</w:t>
            </w:r>
          </w:p>
        </w:tc>
        <w:tc>
          <w:tcPr>
            <w:tcW w:w="364" w:type="pct"/>
            <w:noWrap w:val="0"/>
            <w:vAlign w:val="center"/>
          </w:tcPr>
          <w:p w14:paraId="1E75707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r>
      <w:tr w14:paraId="36E2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45" w:type="pct"/>
            <w:vMerge w:val="continue"/>
            <w:noWrap w:val="0"/>
            <w:vAlign w:val="center"/>
          </w:tcPr>
          <w:p w14:paraId="2572104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5FBB5B69">
            <w:pPr>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业绩</w:t>
            </w:r>
          </w:p>
          <w:p w14:paraId="53AAD0A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3538" w:type="pct"/>
            <w:noWrap w:val="0"/>
            <w:vAlign w:val="center"/>
          </w:tcPr>
          <w:p w14:paraId="20FE519E">
            <w:pPr>
              <w:keepNext w:val="0"/>
              <w:keepLines w:val="0"/>
              <w:pageBreakBefore w:val="0"/>
              <w:widowControl w:val="0"/>
              <w:shd w:val="clear" w:color="auto" w:fill="FFFFFF"/>
              <w:kinsoku/>
              <w:wordWrap/>
              <w:overflowPunct/>
              <w:topLinePunct w:val="0"/>
              <w:autoSpaceDE/>
              <w:autoSpaceDN/>
              <w:bidi w:val="0"/>
              <w:adjustRightInd/>
              <w:snapToGrid/>
              <w:spacing w:line="300" w:lineRule="auto"/>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供应商</w:t>
            </w:r>
            <w:r>
              <w:rPr>
                <w:rFonts w:hint="eastAsia" w:ascii="仿宋" w:hAnsi="仿宋" w:eastAsia="仿宋" w:cs="仿宋"/>
                <w:b w:val="0"/>
                <w:bCs w:val="0"/>
                <w:color w:val="auto"/>
                <w:sz w:val="21"/>
                <w:szCs w:val="21"/>
                <w:lang w:val="en-US" w:eastAsia="zh-CN"/>
              </w:rPr>
              <w:t>自2021年1月1日起承担过</w:t>
            </w:r>
            <w:r>
              <w:rPr>
                <w:rFonts w:hint="eastAsia" w:ascii="仿宋" w:hAnsi="仿宋" w:eastAsia="仿宋" w:cs="仿宋"/>
                <w:b w:val="0"/>
                <w:bCs w:val="0"/>
                <w:color w:val="auto"/>
                <w:sz w:val="21"/>
                <w:szCs w:val="21"/>
              </w:rPr>
              <w:t>类似项目</w:t>
            </w:r>
            <w:r>
              <w:rPr>
                <w:rFonts w:hint="eastAsia" w:ascii="仿宋" w:hAnsi="仿宋" w:eastAsia="仿宋" w:cs="仿宋"/>
                <w:b w:val="0"/>
                <w:bCs w:val="0"/>
                <w:color w:val="auto"/>
                <w:sz w:val="21"/>
                <w:szCs w:val="21"/>
                <w:lang w:val="en-US" w:eastAsia="zh-CN"/>
              </w:rPr>
              <w:t>业绩</w:t>
            </w:r>
            <w:r>
              <w:rPr>
                <w:rFonts w:hint="eastAsia" w:ascii="仿宋" w:hAnsi="仿宋" w:eastAsia="仿宋" w:cs="仿宋"/>
                <w:b w:val="0"/>
                <w:bCs w:val="0"/>
                <w:color w:val="auto"/>
                <w:sz w:val="21"/>
                <w:szCs w:val="21"/>
              </w:rPr>
              <w:t>的</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投放设备数量不低于本项目的</w:t>
            </w:r>
            <w:r>
              <w:rPr>
                <w:rFonts w:hint="eastAsia" w:ascii="仿宋" w:hAnsi="仿宋" w:eastAsia="仿宋" w:cs="仿宋"/>
                <w:b w:val="0"/>
                <w:bCs w:val="0"/>
                <w:color w:val="auto"/>
                <w:sz w:val="21"/>
                <w:szCs w:val="21"/>
              </w:rPr>
              <w:t>，每有一份得</w:t>
            </w: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分，满分</w:t>
            </w: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rPr>
              <w:t>分</w:t>
            </w:r>
            <w:r>
              <w:rPr>
                <w:rFonts w:hint="eastAsia" w:ascii="仿宋" w:hAnsi="仿宋" w:eastAsia="仿宋" w:cs="仿宋"/>
                <w:b w:val="0"/>
                <w:bCs w:val="0"/>
                <w:color w:val="auto"/>
                <w:sz w:val="21"/>
                <w:szCs w:val="21"/>
                <w:lang w:eastAsia="zh-CN"/>
              </w:rPr>
              <w:t>。</w:t>
            </w:r>
          </w:p>
          <w:p w14:paraId="2813CE43">
            <w:pPr>
              <w:keepNext w:val="0"/>
              <w:keepLines w:val="0"/>
              <w:pageBreakBefore w:val="0"/>
              <w:widowControl w:val="0"/>
              <w:shd w:val="clear" w:color="auto" w:fill="FFFFFF"/>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val="0"/>
                <w:color w:val="auto"/>
                <w:sz w:val="21"/>
                <w:szCs w:val="21"/>
              </w:rPr>
              <w:t>提供合同</w:t>
            </w:r>
            <w:r>
              <w:rPr>
                <w:rFonts w:hint="eastAsia" w:ascii="仿宋" w:hAnsi="仿宋" w:eastAsia="仿宋" w:cs="仿宋"/>
                <w:b w:val="0"/>
                <w:bCs w:val="0"/>
                <w:color w:val="auto"/>
                <w:sz w:val="21"/>
                <w:szCs w:val="21"/>
                <w:lang w:val="en-US" w:eastAsia="zh-CN"/>
              </w:rPr>
              <w:t>或中标/成交通知书复印件并加盖供应商公章。</w:t>
            </w:r>
          </w:p>
        </w:tc>
        <w:tc>
          <w:tcPr>
            <w:tcW w:w="364" w:type="pct"/>
            <w:noWrap w:val="0"/>
            <w:vAlign w:val="center"/>
          </w:tcPr>
          <w:p w14:paraId="017CD55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w:t>
            </w:r>
          </w:p>
        </w:tc>
      </w:tr>
      <w:tr w14:paraId="50FE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45" w:type="pct"/>
            <w:noWrap w:val="0"/>
            <w:vAlign w:val="center"/>
          </w:tcPr>
          <w:p w14:paraId="48C9580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650" w:type="pct"/>
            <w:noWrap w:val="0"/>
            <w:vAlign w:val="center"/>
          </w:tcPr>
          <w:p w14:paraId="2FB741E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kern w:val="2"/>
                <w:sz w:val="21"/>
                <w:szCs w:val="21"/>
                <w:vertAlign w:val="baseline"/>
                <w:lang w:val="en-US" w:eastAsia="zh-CN" w:bidi="ar-SA"/>
              </w:rPr>
            </w:pPr>
          </w:p>
        </w:tc>
        <w:tc>
          <w:tcPr>
            <w:tcW w:w="3538" w:type="pct"/>
            <w:noWrap w:val="0"/>
            <w:vAlign w:val="center"/>
          </w:tcPr>
          <w:p w14:paraId="761B4C2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1"/>
                <w:szCs w:val="21"/>
                <w:vertAlign w:val="baseline"/>
                <w:lang w:val="en-US" w:eastAsia="zh-CN"/>
              </w:rPr>
            </w:pPr>
          </w:p>
        </w:tc>
        <w:tc>
          <w:tcPr>
            <w:tcW w:w="364" w:type="pct"/>
            <w:noWrap w:val="0"/>
            <w:vAlign w:val="center"/>
          </w:tcPr>
          <w:p w14:paraId="6BEF1E6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仿宋" w:hAnsi="仿宋" w:eastAsia="仿宋" w:cs="仿宋"/>
                <w:color w:val="auto"/>
                <w:sz w:val="21"/>
                <w:szCs w:val="21"/>
                <w:vertAlign w:val="baseline"/>
                <w:lang w:eastAsia="zh-CN"/>
              </w:rPr>
            </w:pPr>
            <w:r>
              <w:rPr>
                <w:rFonts w:hint="default" w:ascii="仿宋" w:hAnsi="仿宋" w:eastAsia="仿宋" w:cs="仿宋"/>
                <w:color w:val="auto"/>
                <w:sz w:val="21"/>
                <w:szCs w:val="21"/>
                <w:vertAlign w:val="baseline"/>
                <w:lang w:eastAsia="zh-CN"/>
              </w:rPr>
              <w:fldChar w:fldCharType="begin"/>
            </w:r>
            <w:r>
              <w:rPr>
                <w:rFonts w:hint="default" w:ascii="仿宋" w:hAnsi="仿宋" w:eastAsia="仿宋" w:cs="仿宋"/>
                <w:color w:val="auto"/>
                <w:sz w:val="21"/>
                <w:szCs w:val="21"/>
                <w:vertAlign w:val="baseline"/>
                <w:lang w:eastAsia="zh-CN"/>
              </w:rPr>
              <w:instrText xml:space="preserve"> =SUM(ABOVE) \* MERGEFORMAT </w:instrText>
            </w:r>
            <w:r>
              <w:rPr>
                <w:rFonts w:hint="default" w:ascii="仿宋" w:hAnsi="仿宋" w:eastAsia="仿宋" w:cs="仿宋"/>
                <w:color w:val="auto"/>
                <w:sz w:val="21"/>
                <w:szCs w:val="21"/>
                <w:vertAlign w:val="baseline"/>
                <w:lang w:eastAsia="zh-CN"/>
              </w:rPr>
              <w:fldChar w:fldCharType="separate"/>
            </w:r>
            <w:r>
              <w:rPr>
                <w:rFonts w:hint="default" w:ascii="仿宋" w:hAnsi="仿宋" w:eastAsia="仿宋" w:cs="仿宋"/>
                <w:color w:val="auto"/>
                <w:sz w:val="21"/>
                <w:szCs w:val="21"/>
                <w:vertAlign w:val="baseline"/>
                <w:lang w:eastAsia="zh-CN"/>
              </w:rPr>
              <w:t>100</w:t>
            </w:r>
            <w:r>
              <w:rPr>
                <w:rFonts w:hint="default" w:ascii="仿宋" w:hAnsi="仿宋" w:eastAsia="仿宋" w:cs="仿宋"/>
                <w:color w:val="auto"/>
                <w:sz w:val="21"/>
                <w:szCs w:val="21"/>
                <w:vertAlign w:val="baseline"/>
                <w:lang w:eastAsia="zh-CN"/>
              </w:rPr>
              <w:fldChar w:fldCharType="end"/>
            </w:r>
          </w:p>
        </w:tc>
      </w:tr>
    </w:tbl>
    <w:p w14:paraId="04A23205">
      <w:pPr>
        <w:bidi w:val="0"/>
        <w:jc w:val="center"/>
        <w:rPr>
          <w:rFonts w:hint="eastAsia" w:ascii="黑体" w:hAnsi="黑体" w:eastAsia="黑体" w:cs="黑体"/>
          <w:sz w:val="30"/>
          <w:szCs w:val="30"/>
        </w:rPr>
      </w:pPr>
    </w:p>
    <w:p w14:paraId="7A6BD4E7">
      <w:pPr>
        <w:bidi w:val="0"/>
        <w:jc w:val="center"/>
        <w:rPr>
          <w:rFonts w:hint="eastAsia" w:ascii="黑体" w:hAnsi="黑体" w:eastAsia="黑体" w:cs="黑体"/>
          <w:sz w:val="30"/>
          <w:szCs w:val="30"/>
        </w:rPr>
      </w:pPr>
    </w:p>
    <w:p w14:paraId="5DF2CA98">
      <w:pPr>
        <w:bidi w:val="0"/>
        <w:jc w:val="center"/>
        <w:rPr>
          <w:rFonts w:hint="eastAsia" w:ascii="黑体" w:hAnsi="黑体" w:eastAsia="黑体" w:cs="黑体"/>
          <w:sz w:val="30"/>
          <w:szCs w:val="30"/>
        </w:rPr>
      </w:pPr>
    </w:p>
    <w:p w14:paraId="350A1760">
      <w:pPr>
        <w:bidi w:val="0"/>
        <w:jc w:val="center"/>
        <w:rPr>
          <w:rFonts w:hint="eastAsia" w:ascii="黑体" w:hAnsi="黑体" w:eastAsia="黑体" w:cs="黑体"/>
          <w:sz w:val="30"/>
          <w:szCs w:val="30"/>
        </w:rPr>
      </w:pPr>
    </w:p>
    <w:p w14:paraId="1D3A7EEE">
      <w:pPr>
        <w:bidi w:val="0"/>
        <w:jc w:val="center"/>
        <w:rPr>
          <w:rFonts w:hint="eastAsia" w:ascii="黑体" w:hAnsi="黑体" w:eastAsia="黑体" w:cs="黑体"/>
          <w:sz w:val="30"/>
          <w:szCs w:val="30"/>
        </w:rPr>
      </w:pPr>
    </w:p>
    <w:p w14:paraId="7452CE94">
      <w:pPr>
        <w:bidi w:val="0"/>
        <w:jc w:val="center"/>
        <w:rPr>
          <w:rFonts w:hint="eastAsia" w:ascii="黑体" w:hAnsi="黑体" w:eastAsia="黑体" w:cs="黑体"/>
          <w:sz w:val="30"/>
          <w:szCs w:val="30"/>
        </w:rPr>
      </w:pPr>
    </w:p>
    <w:p w14:paraId="4069A8EE">
      <w:pPr>
        <w:bidi w:val="0"/>
        <w:jc w:val="center"/>
        <w:rPr>
          <w:rFonts w:hint="eastAsia" w:ascii="黑体" w:hAnsi="黑体" w:eastAsia="黑体" w:cs="黑体"/>
          <w:sz w:val="30"/>
          <w:szCs w:val="30"/>
        </w:rPr>
      </w:pPr>
    </w:p>
    <w:p w14:paraId="131D6DC0">
      <w:pPr>
        <w:bidi w:val="0"/>
        <w:jc w:val="center"/>
        <w:rPr>
          <w:rFonts w:hint="eastAsia" w:ascii="黑体" w:hAnsi="黑体" w:eastAsia="黑体" w:cs="黑体"/>
          <w:sz w:val="30"/>
          <w:szCs w:val="30"/>
        </w:rPr>
      </w:pPr>
    </w:p>
    <w:p w14:paraId="6D598A79">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7"/>
    </w:p>
    <w:p w14:paraId="2CB9EF51">
      <w:pPr>
        <w:bidi w:val="0"/>
        <w:jc w:val="center"/>
        <w:rPr>
          <w:rFonts w:hint="eastAsia" w:ascii="黑体" w:hAnsi="黑体" w:eastAsia="黑体" w:cs="黑体"/>
          <w:sz w:val="30"/>
          <w:szCs w:val="30"/>
        </w:rPr>
      </w:pPr>
    </w:p>
    <w:p w14:paraId="604BD912">
      <w:pPr>
        <w:bidi w:val="0"/>
        <w:jc w:val="center"/>
        <w:rPr>
          <w:rFonts w:hint="eastAsia" w:ascii="黑体" w:hAnsi="黑体" w:eastAsia="黑体" w:cs="黑体"/>
          <w:sz w:val="30"/>
          <w:szCs w:val="30"/>
          <w:lang w:val="en-US" w:eastAsia="zh-CN"/>
        </w:rPr>
      </w:pPr>
      <w:bookmarkStart w:id="25" w:name="_Toc12859"/>
      <w:bookmarkStart w:id="26" w:name="_Toc16822"/>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6C8032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26C8032D"/>
                  </w:txbxContent>
                </v:textbox>
                <w10:wrap type="none"/>
                <w10:anchorlock/>
              </v:rect>
            </w:pict>
          </mc:Fallback>
        </mc:AlternateContent>
      </w:r>
      <w:bookmarkEnd w:id="25"/>
      <w:bookmarkEnd w:id="26"/>
      <w:r>
        <w:rPr>
          <w:rFonts w:hint="eastAsia" w:ascii="黑体" w:hAnsi="黑体" w:eastAsia="黑体" w:cs="黑体"/>
          <w:sz w:val="30"/>
          <w:szCs w:val="30"/>
          <w:lang w:eastAsia="zh-CN"/>
        </w:rPr>
        <w:t>丹阳市人民医院自助共享轮椅、平车运营单位</w:t>
      </w:r>
      <w:r>
        <w:rPr>
          <w:rFonts w:hint="eastAsia" w:ascii="黑体" w:hAnsi="黑体" w:eastAsia="黑体" w:cs="黑体"/>
          <w:sz w:val="30"/>
          <w:szCs w:val="30"/>
          <w:lang w:val="en-US" w:eastAsia="zh-CN"/>
        </w:rPr>
        <w:t>遴选</w:t>
      </w:r>
      <w:r>
        <w:rPr>
          <w:rFonts w:hint="eastAsia" w:ascii="黑体" w:hAnsi="黑体" w:eastAsia="黑体" w:cs="黑体"/>
          <w:sz w:val="30"/>
          <w:szCs w:val="30"/>
          <w:lang w:eastAsia="zh-CN"/>
        </w:rPr>
        <w:t>项目</w:t>
      </w:r>
    </w:p>
    <w:p w14:paraId="07C364A5">
      <w:pPr>
        <w:bidi w:val="0"/>
        <w:jc w:val="center"/>
        <w:rPr>
          <w:rFonts w:hint="eastAsia" w:ascii="黑体" w:hAnsi="黑体" w:eastAsia="黑体" w:cs="黑体"/>
          <w:sz w:val="30"/>
          <w:szCs w:val="30"/>
        </w:rPr>
      </w:pPr>
    </w:p>
    <w:p w14:paraId="6AC2BCCC">
      <w:pPr>
        <w:bidi w:val="0"/>
        <w:jc w:val="center"/>
        <w:rPr>
          <w:rFonts w:hint="eastAsia" w:ascii="黑体" w:hAnsi="黑体" w:eastAsia="黑体" w:cs="黑体"/>
          <w:sz w:val="30"/>
          <w:szCs w:val="30"/>
        </w:rPr>
      </w:pPr>
    </w:p>
    <w:p w14:paraId="375C8859">
      <w:pPr>
        <w:bidi w:val="0"/>
        <w:jc w:val="center"/>
        <w:rPr>
          <w:rFonts w:hint="eastAsia" w:ascii="黑体" w:hAnsi="黑体" w:eastAsia="黑体" w:cs="黑体"/>
          <w:sz w:val="30"/>
          <w:szCs w:val="30"/>
        </w:rPr>
      </w:pPr>
      <w:bookmarkStart w:id="27" w:name="_Toc18710"/>
      <w:bookmarkStart w:id="28" w:name="_Toc30442"/>
      <w:r>
        <w:rPr>
          <w:rFonts w:hint="eastAsia" w:ascii="黑体" w:hAnsi="黑体" w:eastAsia="黑体" w:cs="黑体"/>
          <w:sz w:val="30"/>
          <w:szCs w:val="30"/>
        </w:rPr>
        <w:t>投 标 文 件</w:t>
      </w:r>
      <w:bookmarkEnd w:id="27"/>
      <w:bookmarkEnd w:id="28"/>
    </w:p>
    <w:p w14:paraId="3265F606">
      <w:pPr>
        <w:bidi w:val="0"/>
        <w:jc w:val="center"/>
        <w:rPr>
          <w:rFonts w:hint="eastAsia" w:ascii="黑体" w:hAnsi="黑体" w:eastAsia="黑体" w:cs="黑体"/>
          <w:sz w:val="30"/>
          <w:szCs w:val="30"/>
        </w:rPr>
      </w:pPr>
    </w:p>
    <w:p w14:paraId="08736697">
      <w:pPr>
        <w:bidi w:val="0"/>
        <w:jc w:val="center"/>
        <w:rPr>
          <w:rFonts w:hint="eastAsia" w:ascii="黑体" w:hAnsi="黑体" w:eastAsia="黑体" w:cs="黑体"/>
          <w:sz w:val="30"/>
          <w:szCs w:val="30"/>
        </w:rPr>
      </w:pPr>
      <w:bookmarkStart w:id="29" w:name="_Toc22247"/>
      <w:bookmarkStart w:id="30" w:name="_Toc24315"/>
      <w:r>
        <w:rPr>
          <w:rFonts w:hint="eastAsia" w:ascii="黑体" w:hAnsi="黑体" w:eastAsia="黑体" w:cs="黑体"/>
          <w:sz w:val="30"/>
          <w:szCs w:val="30"/>
        </w:rPr>
        <w:t>（</w:t>
      </w:r>
      <w:r>
        <w:rPr>
          <w:rFonts w:hint="eastAsia" w:ascii="黑体" w:hAnsi="黑体" w:eastAsia="黑体" w:cs="黑体"/>
          <w:sz w:val="30"/>
          <w:szCs w:val="30"/>
          <w:lang w:eastAsia="zh-CN"/>
        </w:rPr>
        <w:t>比选</w:t>
      </w:r>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DRY-CG-2024046</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w:t>
      </w:r>
      <w:bookmarkEnd w:id="29"/>
      <w:bookmarkEnd w:id="30"/>
    </w:p>
    <w:p w14:paraId="266D4524">
      <w:pPr>
        <w:bidi w:val="0"/>
        <w:jc w:val="center"/>
        <w:rPr>
          <w:rFonts w:hint="eastAsia" w:ascii="黑体" w:hAnsi="黑体" w:eastAsia="黑体" w:cs="黑体"/>
          <w:sz w:val="30"/>
          <w:szCs w:val="30"/>
        </w:rPr>
      </w:pPr>
    </w:p>
    <w:p w14:paraId="76569F7B">
      <w:pPr>
        <w:bidi w:val="0"/>
        <w:jc w:val="center"/>
        <w:rPr>
          <w:rFonts w:hint="eastAsia" w:ascii="黑体" w:hAnsi="黑体" w:eastAsia="黑体" w:cs="黑体"/>
          <w:sz w:val="30"/>
          <w:szCs w:val="30"/>
        </w:rPr>
      </w:pPr>
      <w:bookmarkStart w:id="31" w:name="_Toc29846"/>
      <w:bookmarkStart w:id="32" w:name="_Toc14491"/>
      <w:r>
        <w:rPr>
          <w:rFonts w:hint="eastAsia" w:ascii="黑体" w:hAnsi="黑体" w:eastAsia="黑体" w:cs="黑体"/>
          <w:sz w:val="30"/>
          <w:szCs w:val="30"/>
        </w:rPr>
        <w:t>投 标 人（盖章）：</w:t>
      </w:r>
      <w:bookmarkEnd w:id="31"/>
      <w:bookmarkEnd w:id="32"/>
    </w:p>
    <w:p w14:paraId="4AE65A32">
      <w:pPr>
        <w:bidi w:val="0"/>
        <w:jc w:val="center"/>
        <w:rPr>
          <w:rFonts w:hint="eastAsia" w:ascii="黑体" w:hAnsi="黑体" w:eastAsia="黑体" w:cs="黑体"/>
          <w:sz w:val="30"/>
          <w:szCs w:val="30"/>
        </w:rPr>
      </w:pPr>
    </w:p>
    <w:p w14:paraId="00A53D84">
      <w:pPr>
        <w:bidi w:val="0"/>
        <w:jc w:val="center"/>
        <w:rPr>
          <w:rFonts w:hint="eastAsia" w:ascii="黑体" w:hAnsi="黑体" w:eastAsia="黑体" w:cs="黑体"/>
          <w:sz w:val="30"/>
          <w:szCs w:val="30"/>
        </w:rPr>
      </w:pPr>
      <w:bookmarkStart w:id="33" w:name="_Toc6581"/>
      <w:bookmarkStart w:id="34" w:name="_Toc27992"/>
      <w:r>
        <w:rPr>
          <w:rFonts w:hint="eastAsia" w:ascii="黑体" w:hAnsi="黑体" w:eastAsia="黑体" w:cs="黑体"/>
          <w:sz w:val="30"/>
          <w:szCs w:val="30"/>
        </w:rPr>
        <w:t>日    期：</w:t>
      </w:r>
      <w:bookmarkEnd w:id="33"/>
      <w:bookmarkEnd w:id="34"/>
    </w:p>
    <w:p w14:paraId="66F4C251">
      <w:pPr>
        <w:bidi w:val="0"/>
        <w:jc w:val="center"/>
        <w:rPr>
          <w:rFonts w:hint="eastAsia" w:ascii="黑体" w:hAnsi="黑体" w:eastAsia="黑体" w:cs="黑体"/>
          <w:sz w:val="30"/>
          <w:szCs w:val="30"/>
        </w:rPr>
      </w:pPr>
    </w:p>
    <w:p w14:paraId="2FED9DB0">
      <w:pPr>
        <w:bidi w:val="0"/>
        <w:jc w:val="center"/>
        <w:rPr>
          <w:rFonts w:hint="eastAsia" w:ascii="黑体" w:hAnsi="黑体" w:eastAsia="黑体" w:cs="黑体"/>
          <w:sz w:val="30"/>
          <w:szCs w:val="30"/>
        </w:rPr>
      </w:pPr>
    </w:p>
    <w:p w14:paraId="7A4F52EB">
      <w:pPr>
        <w:pStyle w:val="30"/>
        <w:ind w:firstLine="562"/>
        <w:rPr>
          <w:rFonts w:ascii="宋体" w:hAnsi="宋体"/>
          <w:b/>
          <w:sz w:val="28"/>
          <w:szCs w:val="28"/>
        </w:rPr>
      </w:pPr>
    </w:p>
    <w:p w14:paraId="6FC056EE">
      <w:pPr>
        <w:pStyle w:val="3"/>
        <w:numPr>
          <w:ilvl w:val="0"/>
          <w:numId w:val="0"/>
        </w:numPr>
        <w:spacing w:before="120" w:after="120"/>
        <w:jc w:val="both"/>
        <w:outlineLvl w:val="9"/>
        <w:rPr>
          <w:rFonts w:hint="default" w:cs="宋体"/>
          <w:sz w:val="32"/>
          <w:szCs w:val="32"/>
        </w:rPr>
      </w:pPr>
      <w:bookmarkStart w:id="35" w:name="_Toc9147"/>
    </w:p>
    <w:p w14:paraId="53670491"/>
    <w:p w14:paraId="1DC3F268">
      <w:pPr>
        <w:pStyle w:val="3"/>
        <w:numPr>
          <w:ilvl w:val="0"/>
          <w:numId w:val="0"/>
        </w:numPr>
        <w:spacing w:before="120" w:after="120"/>
        <w:jc w:val="both"/>
        <w:outlineLvl w:val="9"/>
        <w:rPr>
          <w:rFonts w:hint="default" w:cs="宋体"/>
          <w:sz w:val="32"/>
          <w:szCs w:val="32"/>
        </w:rPr>
      </w:pPr>
    </w:p>
    <w:p w14:paraId="5C2193AC">
      <w:pPr>
        <w:rPr>
          <w:rFonts w:cs="宋体"/>
          <w:sz w:val="32"/>
          <w:szCs w:val="32"/>
        </w:rPr>
      </w:pPr>
      <w:r>
        <w:rPr>
          <w:rFonts w:cs="宋体"/>
          <w:sz w:val="32"/>
          <w:szCs w:val="32"/>
        </w:rPr>
        <w:br w:type="page"/>
      </w:r>
    </w:p>
    <w:p w14:paraId="3FB49A6D">
      <w:pPr>
        <w:bidi w:val="0"/>
        <w:jc w:val="center"/>
        <w:rPr>
          <w:b/>
          <w:bCs/>
          <w:sz w:val="30"/>
          <w:szCs w:val="30"/>
        </w:rPr>
      </w:pPr>
      <w:bookmarkStart w:id="36" w:name="_Toc554"/>
      <w:bookmarkStart w:id="37" w:name="_Toc22545"/>
      <w:r>
        <w:rPr>
          <w:b/>
          <w:bCs/>
          <w:sz w:val="30"/>
          <w:szCs w:val="30"/>
        </w:rPr>
        <w:t>投标文件目录</w:t>
      </w:r>
      <w:bookmarkEnd w:id="36"/>
      <w:bookmarkEnd w:id="37"/>
    </w:p>
    <w:p w14:paraId="32E40112">
      <w:pPr>
        <w:numPr>
          <w:ilvl w:val="0"/>
          <w:numId w:val="9"/>
        </w:numPr>
        <w:spacing w:line="360" w:lineRule="auto"/>
        <w:ind w:left="0" w:leftChars="0" w:firstLine="420" w:firstLineChars="0"/>
        <w:rPr>
          <w:rFonts w:eastAsia="宋体"/>
          <w:sz w:val="28"/>
          <w:szCs w:val="28"/>
        </w:rPr>
      </w:pPr>
      <w:r>
        <w:rPr>
          <w:rFonts w:eastAsia="宋体"/>
          <w:sz w:val="28"/>
          <w:szCs w:val="28"/>
        </w:rPr>
        <w:t>投标函</w:t>
      </w:r>
    </w:p>
    <w:p w14:paraId="0C788086">
      <w:pPr>
        <w:numPr>
          <w:ilvl w:val="0"/>
          <w:numId w:val="9"/>
        </w:numPr>
        <w:spacing w:line="360" w:lineRule="auto"/>
        <w:ind w:left="0" w:leftChars="0" w:firstLine="420" w:firstLineChars="0"/>
        <w:rPr>
          <w:rFonts w:eastAsia="宋体"/>
          <w:sz w:val="28"/>
          <w:szCs w:val="28"/>
        </w:rPr>
      </w:pPr>
      <w:r>
        <w:rPr>
          <w:rFonts w:hint="eastAsia"/>
          <w:sz w:val="28"/>
          <w:szCs w:val="28"/>
          <w:lang w:val="en-US" w:eastAsia="zh-CN"/>
        </w:rPr>
        <w:t>比选</w:t>
      </w:r>
      <w:r>
        <w:rPr>
          <w:rFonts w:hint="eastAsia" w:eastAsia="宋体"/>
          <w:sz w:val="28"/>
          <w:szCs w:val="28"/>
        </w:rPr>
        <w:t>响应报价表</w:t>
      </w:r>
    </w:p>
    <w:p w14:paraId="5E279E80">
      <w:pPr>
        <w:numPr>
          <w:ilvl w:val="0"/>
          <w:numId w:val="9"/>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14:paraId="6FECA348">
      <w:pPr>
        <w:numPr>
          <w:ilvl w:val="0"/>
          <w:numId w:val="9"/>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14:paraId="71BEF640">
      <w:pPr>
        <w:numPr>
          <w:ilvl w:val="0"/>
          <w:numId w:val="9"/>
        </w:numPr>
        <w:spacing w:line="360" w:lineRule="auto"/>
        <w:ind w:left="0" w:leftChars="0" w:firstLine="420" w:firstLineChars="0"/>
        <w:rPr>
          <w:rFonts w:eastAsia="宋体"/>
          <w:sz w:val="28"/>
          <w:szCs w:val="28"/>
        </w:rPr>
      </w:pPr>
      <w:r>
        <w:rPr>
          <w:rFonts w:hint="eastAsia" w:eastAsia="宋体"/>
          <w:sz w:val="28"/>
          <w:szCs w:val="28"/>
        </w:rPr>
        <w:t>资格审查资料</w:t>
      </w:r>
    </w:p>
    <w:p w14:paraId="4ABAB346">
      <w:pPr>
        <w:numPr>
          <w:ilvl w:val="0"/>
          <w:numId w:val="9"/>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w:t>
      </w:r>
      <w:r>
        <w:rPr>
          <w:rFonts w:hint="eastAsia"/>
          <w:sz w:val="28"/>
          <w:szCs w:val="28"/>
          <w:lang w:val="en-US" w:eastAsia="zh-CN"/>
        </w:rPr>
        <w:t>服务</w:t>
      </w:r>
      <w:r>
        <w:rPr>
          <w:rFonts w:hint="eastAsia" w:eastAsia="宋体"/>
          <w:sz w:val="28"/>
          <w:szCs w:val="28"/>
          <w:lang w:val="en-US" w:eastAsia="zh-CN"/>
        </w:rPr>
        <w:t>要求偏离表</w:t>
      </w:r>
    </w:p>
    <w:p w14:paraId="43214DEF">
      <w:pPr>
        <w:numPr>
          <w:ilvl w:val="0"/>
          <w:numId w:val="9"/>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14:paraId="75C79017">
      <w:pPr>
        <w:numPr>
          <w:ilvl w:val="0"/>
          <w:numId w:val="9"/>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实施服务方案</w:t>
      </w:r>
    </w:p>
    <w:p w14:paraId="23FE4483">
      <w:pPr>
        <w:numPr>
          <w:ilvl w:val="0"/>
          <w:numId w:val="9"/>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技术服务评价其它证明材料</w:t>
      </w:r>
    </w:p>
    <w:p w14:paraId="15DD6F1E">
      <w:pPr>
        <w:numPr>
          <w:ilvl w:val="0"/>
          <w:numId w:val="9"/>
        </w:numPr>
        <w:spacing w:line="360" w:lineRule="auto"/>
        <w:ind w:left="0" w:leftChars="0" w:firstLine="420" w:firstLineChars="0"/>
        <w:rPr>
          <w:rFonts w:hint="default" w:eastAsia="宋体"/>
          <w:sz w:val="28"/>
          <w:szCs w:val="28"/>
          <w:lang w:val="en-US" w:eastAsia="zh-CN"/>
        </w:rPr>
      </w:pPr>
      <w:r>
        <w:rPr>
          <w:rFonts w:hint="eastAsia" w:eastAsia="宋体"/>
          <w:sz w:val="28"/>
          <w:szCs w:val="28"/>
          <w:lang w:val="en-US" w:eastAsia="zh-CN"/>
        </w:rPr>
        <w:t>商务及资信评价证明材料</w:t>
      </w:r>
    </w:p>
    <w:p w14:paraId="3F96206D">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14:paraId="23704BF7">
      <w:pPr>
        <w:rPr>
          <w:rFonts w:hint="eastAsia"/>
          <w:lang w:val="en-US" w:eastAsia="zh-CN"/>
        </w:rPr>
      </w:pPr>
    </w:p>
    <w:p w14:paraId="35F1E22D">
      <w:pPr>
        <w:pStyle w:val="4"/>
        <w:numPr>
          <w:ilvl w:val="0"/>
          <w:numId w:val="10"/>
        </w:numPr>
        <w:bidi w:val="0"/>
        <w:ind w:left="0" w:leftChars="0" w:firstLine="0" w:firstLineChars="0"/>
        <w:outlineLvl w:val="1"/>
        <w:rPr>
          <w:rFonts w:hint="eastAsia"/>
        </w:rPr>
      </w:pPr>
      <w:bookmarkStart w:id="38" w:name="_Toc29490"/>
      <w:r>
        <w:rPr>
          <w:rFonts w:hint="eastAsia"/>
        </w:rPr>
        <w:t>投 标 函</w:t>
      </w:r>
      <w:bookmarkEnd w:id="35"/>
      <w:bookmarkEnd w:id="38"/>
    </w:p>
    <w:p w14:paraId="1E05545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14:paraId="4E3268D5">
      <w:pPr>
        <w:numPr>
          <w:ilvl w:val="0"/>
          <w:numId w:val="11"/>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丹阳市人民医院自助共享轮椅、平车运营单位遴选项目</w:t>
      </w:r>
      <w:r>
        <w:rPr>
          <w:rFonts w:hint="eastAsia" w:ascii="宋体" w:hAnsi="宋体" w:eastAsia="宋体" w:cs="宋体"/>
          <w:sz w:val="28"/>
          <w:szCs w:val="28"/>
          <w:lang w:val="en-US" w:eastAsia="zh-CN"/>
        </w:rPr>
        <w:t>采购文件的全部内容，愿意以人民币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w:t>
      </w:r>
      <w:r>
        <w:rPr>
          <w:rFonts w:hint="eastAsia" w:ascii="宋体" w:hAnsi="宋体" w:cs="宋体"/>
          <w:sz w:val="28"/>
          <w:szCs w:val="28"/>
          <w:lang w:val="en-US" w:eastAsia="zh-CN"/>
        </w:rPr>
        <w:t>（3年）</w:t>
      </w:r>
      <w:r>
        <w:rPr>
          <w:rFonts w:hint="eastAsia" w:ascii="宋体" w:hAnsi="宋体" w:eastAsia="宋体" w:cs="宋体"/>
          <w:sz w:val="28"/>
          <w:szCs w:val="28"/>
          <w:lang w:val="en-US" w:eastAsia="zh-CN"/>
        </w:rPr>
        <w:t>，并将按</w:t>
      </w:r>
      <w:r>
        <w:rPr>
          <w:rFonts w:hint="eastAsia" w:ascii="宋体" w:hAnsi="宋体" w:cs="宋体"/>
          <w:sz w:val="28"/>
          <w:szCs w:val="28"/>
          <w:lang w:val="en-US" w:eastAsia="zh-CN"/>
        </w:rPr>
        <w:t>比选</w:t>
      </w:r>
      <w:r>
        <w:rPr>
          <w:rFonts w:hint="eastAsia" w:ascii="宋体" w:hAnsi="宋体" w:eastAsia="宋体" w:cs="宋体"/>
          <w:sz w:val="28"/>
          <w:szCs w:val="28"/>
          <w:lang w:val="en-US" w:eastAsia="zh-CN"/>
        </w:rPr>
        <w:t>文件的规定履行合同责任和义务，实现工程目的。</w:t>
      </w:r>
    </w:p>
    <w:p w14:paraId="01F9A893">
      <w:pPr>
        <w:numPr>
          <w:ilvl w:val="0"/>
          <w:numId w:val="11"/>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eastAsia="zh-CN"/>
        </w:rPr>
        <w:t>比选</w:t>
      </w:r>
      <w:r>
        <w:rPr>
          <w:rFonts w:hint="eastAsia" w:ascii="宋体" w:hAnsi="宋体" w:eastAsia="宋体" w:cs="宋体"/>
          <w:sz w:val="28"/>
          <w:szCs w:val="28"/>
        </w:rPr>
        <w:t>文件规定的投标有效期内不修改、撤销投标文件。</w:t>
      </w:r>
    </w:p>
    <w:p w14:paraId="6BB2122C">
      <w:pPr>
        <w:numPr>
          <w:ilvl w:val="0"/>
          <w:numId w:val="11"/>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9D895E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69D895EE"/>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14:paraId="73CFC75F">
      <w:pPr>
        <w:numPr>
          <w:ilvl w:val="0"/>
          <w:numId w:val="11"/>
        </w:numPr>
        <w:bidi w:val="0"/>
        <w:rPr>
          <w:rFonts w:hint="eastAsia" w:ascii="宋体" w:hAnsi="宋体" w:eastAsia="宋体" w:cs="宋体"/>
          <w:sz w:val="28"/>
          <w:szCs w:val="28"/>
        </w:rPr>
      </w:pPr>
      <w:bookmarkStart w:id="39" w:name="_Toc25712"/>
      <w:r>
        <w:rPr>
          <w:rFonts w:hint="eastAsia" w:ascii="宋体" w:hAnsi="宋体" w:eastAsia="宋体" w:cs="宋体"/>
          <w:sz w:val="28"/>
          <w:szCs w:val="28"/>
        </w:rPr>
        <w:t>如我方中标：</w:t>
      </w:r>
      <w:bookmarkEnd w:id="39"/>
    </w:p>
    <w:p w14:paraId="5032E740">
      <w:pPr>
        <w:numPr>
          <w:ilvl w:val="1"/>
          <w:numId w:val="11"/>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14:paraId="64D7BCA7">
      <w:pPr>
        <w:numPr>
          <w:ilvl w:val="1"/>
          <w:numId w:val="11"/>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w:t>
      </w:r>
      <w:r>
        <w:rPr>
          <w:rFonts w:hint="eastAsia" w:ascii="宋体" w:hAnsi="宋体" w:cs="宋体"/>
          <w:sz w:val="28"/>
          <w:szCs w:val="28"/>
          <w:lang w:eastAsia="zh-CN"/>
        </w:rPr>
        <w:t>比选</w:t>
      </w:r>
      <w:r>
        <w:rPr>
          <w:rFonts w:hint="eastAsia" w:ascii="宋体" w:hAnsi="宋体" w:eastAsia="宋体" w:cs="宋体"/>
          <w:sz w:val="28"/>
          <w:szCs w:val="28"/>
        </w:rPr>
        <w:t>文件中对投标人的所有规定。</w:t>
      </w:r>
    </w:p>
    <w:p w14:paraId="772E4145">
      <w:pPr>
        <w:numPr>
          <w:ilvl w:val="0"/>
          <w:numId w:val="11"/>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0086A5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0086A59"/>
                  </w:txbxContent>
                </v:textbox>
                <w10:wrap type="none"/>
                <w10:anchorlock/>
              </v:rect>
            </w:pict>
          </mc:Fallback>
        </mc:AlternateContent>
      </w:r>
      <w:r>
        <w:rPr>
          <w:rFonts w:hint="eastAsia" w:ascii="宋体" w:hAnsi="宋体" w:eastAsia="宋体" w:cs="宋体"/>
          <w:sz w:val="28"/>
          <w:szCs w:val="28"/>
        </w:rPr>
        <w:t>（其他补充说明）。</w:t>
      </w:r>
    </w:p>
    <w:p w14:paraId="0E30BF31">
      <w:pPr>
        <w:numPr>
          <w:ilvl w:val="0"/>
          <w:numId w:val="0"/>
        </w:numPr>
        <w:bidi w:val="0"/>
        <w:ind w:leftChars="0"/>
        <w:rPr>
          <w:rFonts w:hint="eastAsia" w:ascii="宋体" w:hAnsi="宋体" w:eastAsia="宋体" w:cs="宋体"/>
          <w:sz w:val="28"/>
          <w:szCs w:val="28"/>
        </w:rPr>
      </w:pPr>
    </w:p>
    <w:p w14:paraId="38C6D2B8">
      <w:pPr>
        <w:numPr>
          <w:ilvl w:val="0"/>
          <w:numId w:val="0"/>
        </w:numPr>
        <w:bidi w:val="0"/>
        <w:ind w:leftChars="0"/>
        <w:rPr>
          <w:rFonts w:hint="eastAsia" w:ascii="宋体" w:hAnsi="宋体" w:eastAsia="宋体" w:cs="宋体"/>
          <w:sz w:val="28"/>
          <w:szCs w:val="28"/>
        </w:rPr>
      </w:pPr>
    </w:p>
    <w:p w14:paraId="70F5B6E5">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14:paraId="6E3F157A">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14:paraId="3714F2E9">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5410AD23">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10ED27A7">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14:paraId="7D2F5F6F">
      <w:pPr>
        <w:numPr>
          <w:ilvl w:val="0"/>
          <w:numId w:val="0"/>
        </w:numPr>
        <w:bidi w:val="0"/>
        <w:ind w:left="420" w:leftChars="0"/>
        <w:rPr>
          <w:rFonts w:hint="eastAsia" w:ascii="宋体" w:hAnsi="宋体" w:eastAsia="宋体" w:cs="宋体"/>
          <w:sz w:val="28"/>
          <w:szCs w:val="28"/>
        </w:rPr>
      </w:pPr>
    </w:p>
    <w:p w14:paraId="59D7749A">
      <w:pPr>
        <w:numPr>
          <w:ilvl w:val="0"/>
          <w:numId w:val="10"/>
        </w:numPr>
        <w:bidi w:val="0"/>
        <w:ind w:left="0" w:leftChars="0" w:firstLine="420" w:firstLineChars="0"/>
        <w:jc w:val="center"/>
        <w:outlineLvl w:val="1"/>
        <w:rPr>
          <w:rStyle w:val="39"/>
          <w:rFonts w:hint="eastAsia"/>
        </w:rPr>
      </w:pPr>
      <w:r>
        <w:rPr>
          <w:rFonts w:hint="eastAsia" w:ascii="宋体" w:hAnsi="宋体" w:eastAsia="宋体" w:cs="宋体"/>
          <w:sz w:val="28"/>
          <w:szCs w:val="28"/>
        </w:rPr>
        <w:br w:type="page"/>
      </w:r>
      <w:bookmarkStart w:id="40" w:name="_Toc19625"/>
      <w:bookmarkStart w:id="41" w:name="_Toc26543"/>
      <w:r>
        <w:rPr>
          <w:rStyle w:val="39"/>
          <w:rFonts w:hint="eastAsia" w:cs="Times New Roman"/>
          <w:lang w:val="en-US" w:eastAsia="zh-CN"/>
        </w:rPr>
        <w:t>比选</w:t>
      </w:r>
      <w:r>
        <w:rPr>
          <w:rStyle w:val="39"/>
          <w:rFonts w:hint="eastAsia"/>
        </w:rPr>
        <w:t>响应报价表（格式）</w:t>
      </w:r>
      <w:bookmarkEnd w:id="40"/>
      <w:bookmarkEnd w:id="41"/>
    </w:p>
    <w:tbl>
      <w:tblPr>
        <w:tblStyle w:val="25"/>
        <w:tblW w:w="0" w:type="auto"/>
        <w:jc w:val="center"/>
        <w:tblLayout w:type="fixed"/>
        <w:tblCellMar>
          <w:top w:w="0" w:type="dxa"/>
          <w:left w:w="10" w:type="dxa"/>
          <w:bottom w:w="0" w:type="dxa"/>
          <w:right w:w="10" w:type="dxa"/>
        </w:tblCellMar>
      </w:tblPr>
      <w:tblGrid>
        <w:gridCol w:w="2460"/>
        <w:gridCol w:w="2474"/>
        <w:gridCol w:w="1835"/>
        <w:gridCol w:w="2311"/>
      </w:tblGrid>
      <w:tr w14:paraId="0EA7F4B3">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18A88D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60C47399">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5E067A9">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丹阳市人民医院自助共享轮椅、平车运营单位遴选</w:t>
            </w:r>
          </w:p>
        </w:tc>
      </w:tr>
      <w:tr w14:paraId="129E5F71">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FCD5C6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14:paraId="4749CABC">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0A7F4A5">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18C6B84B">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06E0FAA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3435A621">
            <w:pPr>
              <w:numPr>
                <w:ilvl w:val="0"/>
                <w:numId w:val="0"/>
              </w:numPr>
              <w:bidi w:val="0"/>
              <w:ind w:left="420" w:leftChars="0"/>
              <w:rPr>
                <w:rFonts w:hint="eastAsia" w:ascii="宋体" w:hAnsi="宋体" w:eastAsia="宋体" w:cs="宋体"/>
                <w:sz w:val="28"/>
                <w:szCs w:val="28"/>
                <w:lang w:val="en-US" w:eastAsia="zh-CN"/>
              </w:rPr>
            </w:pPr>
          </w:p>
        </w:tc>
      </w:tr>
      <w:tr w14:paraId="311CDDF5">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953D9A1">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96BD0E0">
            <w:pPr>
              <w:numPr>
                <w:ilvl w:val="0"/>
                <w:numId w:val="0"/>
              </w:numPr>
              <w:bidi w:val="0"/>
              <w:ind w:left="420" w:leftChars="0"/>
              <w:rPr>
                <w:rFonts w:hint="eastAsia" w:ascii="宋体" w:hAnsi="宋体" w:eastAsia="宋体" w:cs="宋体"/>
                <w:sz w:val="28"/>
                <w:szCs w:val="28"/>
              </w:rPr>
            </w:pPr>
          </w:p>
        </w:tc>
      </w:tr>
      <w:tr w14:paraId="5728CBA3">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9FF4D2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A34BBD2">
            <w:pPr>
              <w:numPr>
                <w:ilvl w:val="0"/>
                <w:numId w:val="0"/>
              </w:numPr>
              <w:bidi w:val="0"/>
              <w:ind w:left="420" w:leftChars="0"/>
              <w:rPr>
                <w:rFonts w:hint="eastAsia" w:ascii="宋体" w:hAnsi="宋体" w:eastAsia="宋体" w:cs="宋体"/>
                <w:sz w:val="28"/>
                <w:szCs w:val="28"/>
              </w:rPr>
            </w:pPr>
          </w:p>
        </w:tc>
      </w:tr>
      <w:tr w14:paraId="32ABBEA3">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0C9C630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BAD14D6">
            <w:pPr>
              <w:numPr>
                <w:ilvl w:val="0"/>
                <w:numId w:val="0"/>
              </w:numPr>
              <w:bidi w:val="0"/>
              <w:ind w:left="420" w:leftChars="0"/>
              <w:rPr>
                <w:rFonts w:hint="eastAsia" w:ascii="宋体" w:hAnsi="宋体" w:eastAsia="宋体" w:cs="宋体"/>
                <w:sz w:val="28"/>
                <w:szCs w:val="28"/>
              </w:rPr>
            </w:pPr>
          </w:p>
        </w:tc>
      </w:tr>
    </w:tbl>
    <w:p w14:paraId="00BDCD9D">
      <w:pPr>
        <w:numPr>
          <w:ilvl w:val="0"/>
          <w:numId w:val="0"/>
        </w:numPr>
        <w:bidi w:val="0"/>
        <w:ind w:left="420" w:leftChars="0"/>
        <w:rPr>
          <w:rFonts w:hint="eastAsia" w:ascii="宋体" w:hAnsi="宋体" w:eastAsia="宋体" w:cs="宋体"/>
          <w:sz w:val="28"/>
          <w:szCs w:val="28"/>
        </w:rPr>
      </w:pPr>
    </w:p>
    <w:p w14:paraId="60ADD334">
      <w:pPr>
        <w:numPr>
          <w:ilvl w:val="0"/>
          <w:numId w:val="0"/>
        </w:numPr>
        <w:bidi w:val="0"/>
        <w:ind w:left="420" w:leftChars="0"/>
        <w:rPr>
          <w:rFonts w:hint="eastAsia" w:ascii="宋体" w:hAnsi="宋体" w:eastAsia="宋体" w:cs="宋体"/>
          <w:sz w:val="28"/>
          <w:szCs w:val="28"/>
        </w:rPr>
      </w:pPr>
    </w:p>
    <w:p w14:paraId="392396CC">
      <w:pPr>
        <w:bidi w:val="0"/>
        <w:rPr>
          <w:rFonts w:hint="eastAsia"/>
        </w:rPr>
      </w:pPr>
      <w:r>
        <w:rPr>
          <w:rFonts w:hint="eastAsia"/>
        </w:rPr>
        <w:t>注：</w:t>
      </w:r>
    </w:p>
    <w:p w14:paraId="1E078B3D">
      <w:pPr>
        <w:bidi w:val="0"/>
        <w:rPr>
          <w:rFonts w:hint="eastAsia" w:eastAsia="宋体"/>
        </w:rPr>
      </w:pPr>
      <w:r>
        <w:rPr>
          <w:rFonts w:hint="eastAsia" w:eastAsia="宋体"/>
        </w:rPr>
        <w:t>1</w:t>
      </w:r>
      <w:r>
        <w:rPr>
          <w:rFonts w:hint="eastAsia" w:eastAsia="宋体"/>
          <w:lang w:val="en-US" w:eastAsia="zh-CN"/>
        </w:rPr>
        <w:t>.</w:t>
      </w:r>
      <w:r>
        <w:rPr>
          <w:rFonts w:hint="eastAsia" w:eastAsia="宋体"/>
        </w:rPr>
        <w:t>总报价应包含磋商文件所确定的采购范围内的全部内容，含税。</w:t>
      </w:r>
      <w:bookmarkStart w:id="42" w:name="_Toc28122"/>
    </w:p>
    <w:p w14:paraId="0AFEC3DB">
      <w:pPr>
        <w:bidi w:val="0"/>
        <w:rPr>
          <w:rFonts w:hint="eastAsia" w:eastAsia="宋体"/>
        </w:rPr>
      </w:pPr>
      <w:r>
        <w:rPr>
          <w:rFonts w:hint="eastAsia" w:eastAsia="宋体"/>
          <w:lang w:val="en-US" w:eastAsia="zh-CN"/>
        </w:rPr>
        <w:t>2.</w:t>
      </w:r>
      <w:r>
        <w:rPr>
          <w:rFonts w:hint="eastAsia" w:eastAsia="宋体"/>
        </w:rPr>
        <w:t>投标供应商必须据实填写此表</w:t>
      </w:r>
      <w:bookmarkStart w:id="57" w:name="_GoBack"/>
      <w:bookmarkEnd w:id="57"/>
      <w:r>
        <w:rPr>
          <w:rFonts w:hint="eastAsia" w:eastAsia="宋体"/>
        </w:rPr>
        <w:t>。</w:t>
      </w:r>
      <w:bookmarkEnd w:id="42"/>
    </w:p>
    <w:p w14:paraId="5D273165">
      <w:pPr>
        <w:bidi w:val="0"/>
        <w:rPr>
          <w:rFonts w:hint="eastAsia" w:eastAsia="宋体"/>
          <w:lang w:val="en-US" w:eastAsia="zh-CN"/>
        </w:rPr>
      </w:pPr>
      <w:r>
        <w:rPr>
          <w:rFonts w:hint="eastAsia" w:eastAsia="宋体"/>
          <w:lang w:val="en-US" w:eastAsia="zh-CN"/>
        </w:rPr>
        <w:t>3.此报价为涵盖三年的总费用，而非单一年度费用。其中每年的管理费是均匀分配，即每年的管理费为三年总管理费除以三所得的平均值。</w:t>
      </w:r>
    </w:p>
    <w:p w14:paraId="536B4891">
      <w:pPr>
        <w:numPr>
          <w:ilvl w:val="0"/>
          <w:numId w:val="0"/>
        </w:numPr>
        <w:bidi w:val="0"/>
        <w:ind w:left="420" w:leftChars="0"/>
        <w:rPr>
          <w:rFonts w:hint="eastAsia" w:ascii="宋体" w:hAnsi="宋体" w:eastAsia="宋体" w:cs="宋体"/>
          <w:sz w:val="28"/>
          <w:szCs w:val="28"/>
        </w:rPr>
      </w:pPr>
    </w:p>
    <w:p w14:paraId="1C11B3AA">
      <w:pPr>
        <w:numPr>
          <w:ilvl w:val="0"/>
          <w:numId w:val="0"/>
        </w:numPr>
        <w:bidi w:val="0"/>
        <w:ind w:left="420" w:leftChars="0"/>
        <w:rPr>
          <w:rFonts w:hint="eastAsia" w:ascii="宋体" w:hAnsi="宋体" w:eastAsia="宋体" w:cs="宋体"/>
          <w:sz w:val="28"/>
          <w:szCs w:val="28"/>
        </w:rPr>
      </w:pPr>
      <w:bookmarkStart w:id="43" w:name="_Toc26951"/>
      <w:r>
        <w:rPr>
          <w:rFonts w:hint="eastAsia" w:ascii="宋体" w:hAnsi="宋体" w:eastAsia="宋体" w:cs="宋体"/>
          <w:sz w:val="28"/>
          <w:szCs w:val="28"/>
        </w:rPr>
        <w:br w:type="page"/>
      </w:r>
    </w:p>
    <w:p w14:paraId="50C45E52">
      <w:pPr>
        <w:pStyle w:val="4"/>
        <w:numPr>
          <w:ilvl w:val="0"/>
          <w:numId w:val="10"/>
        </w:numPr>
        <w:bidi w:val="0"/>
        <w:ind w:left="0" w:leftChars="0" w:firstLine="420" w:firstLineChars="0"/>
        <w:rPr>
          <w:rFonts w:hint="eastAsia"/>
          <w:lang w:eastAsia="zh-CN"/>
        </w:rPr>
      </w:pPr>
      <w:bookmarkStart w:id="44" w:name="_Toc1153"/>
      <w:r>
        <w:rPr>
          <w:rFonts w:hint="eastAsia"/>
        </w:rPr>
        <w:t>法定代表人身份证明</w:t>
      </w:r>
      <w:bookmarkEnd w:id="43"/>
      <w:r>
        <w:rPr>
          <w:rFonts w:hint="eastAsia"/>
          <w:lang w:eastAsia="zh-CN"/>
        </w:rPr>
        <w:t>书</w:t>
      </w:r>
      <w:bookmarkEnd w:id="44"/>
    </w:p>
    <w:p w14:paraId="19992DF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3D65D4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E5EB0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1657E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01657EF"/>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5B245D4">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E13F9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BE13F97"/>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F75B1E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AF2DB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3AAF2DB4"/>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DD517A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BD6443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3BD6443C"/>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B7A58E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AF9C89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2AF9C89F"/>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3805C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14:paraId="2AF79EA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14:paraId="5E2CE18A">
      <w:pPr>
        <w:numPr>
          <w:ilvl w:val="0"/>
          <w:numId w:val="0"/>
        </w:numPr>
        <w:bidi w:val="0"/>
        <w:ind w:left="420" w:leftChars="0"/>
        <w:rPr>
          <w:rFonts w:hint="eastAsia" w:ascii="宋体" w:hAnsi="宋体" w:eastAsia="宋体" w:cs="宋体"/>
          <w:sz w:val="28"/>
          <w:szCs w:val="28"/>
        </w:rPr>
      </w:pPr>
    </w:p>
    <w:p w14:paraId="1C8D4EE4">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9FFC7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9FFC758"/>
                  </w:txbxContent>
                </v:textbox>
                <w10:wrap type="none"/>
                <w10:anchorlock/>
              </v:rect>
            </w:pict>
          </mc:Fallback>
        </mc:AlternateContent>
      </w:r>
      <w:r>
        <w:rPr>
          <w:rFonts w:hint="eastAsia" w:ascii="宋体" w:hAnsi="宋体" w:eastAsia="宋体" w:cs="宋体"/>
          <w:sz w:val="28"/>
          <w:szCs w:val="28"/>
        </w:rPr>
        <w:t>(盖公章)</w:t>
      </w:r>
    </w:p>
    <w:p w14:paraId="72CA679A">
      <w:pPr>
        <w:numPr>
          <w:ilvl w:val="0"/>
          <w:numId w:val="0"/>
        </w:numPr>
        <w:bidi w:val="0"/>
        <w:ind w:left="420" w:leftChars="0"/>
        <w:jc w:val="center"/>
        <w:rPr>
          <w:rFonts w:hint="eastAsia" w:ascii="宋体" w:hAnsi="宋体" w:eastAsia="宋体" w:cs="宋体"/>
          <w:sz w:val="28"/>
          <w:szCs w:val="28"/>
        </w:rPr>
      </w:pPr>
    </w:p>
    <w:p w14:paraId="7346E3D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C25676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4C256767"/>
                  </w:txbxContent>
                </v:textbox>
                <w10:wrap type="none"/>
                <w10:anchorlock/>
              </v:rect>
            </w:pict>
          </mc:Fallback>
        </mc:AlternateContent>
      </w:r>
    </w:p>
    <w:p w14:paraId="00C78EC6">
      <w:pPr>
        <w:numPr>
          <w:ilvl w:val="0"/>
          <w:numId w:val="0"/>
        </w:numPr>
        <w:bidi w:val="0"/>
        <w:ind w:left="420" w:leftChars="0"/>
        <w:jc w:val="center"/>
        <w:rPr>
          <w:rFonts w:hint="eastAsia" w:ascii="宋体" w:hAnsi="宋体" w:eastAsia="宋体" w:cs="宋体"/>
          <w:sz w:val="28"/>
          <w:szCs w:val="28"/>
        </w:rPr>
      </w:pPr>
    </w:p>
    <w:p w14:paraId="1EB3E493">
      <w:pPr>
        <w:numPr>
          <w:ilvl w:val="0"/>
          <w:numId w:val="0"/>
        </w:numPr>
        <w:bidi w:val="0"/>
        <w:ind w:left="420" w:leftChars="0"/>
        <w:rPr>
          <w:rFonts w:hint="eastAsia" w:ascii="宋体" w:hAnsi="宋体" w:eastAsia="宋体" w:cs="宋体"/>
          <w:sz w:val="28"/>
          <w:szCs w:val="28"/>
        </w:rPr>
      </w:pPr>
    </w:p>
    <w:p w14:paraId="65892D58">
      <w:pPr>
        <w:numPr>
          <w:ilvl w:val="0"/>
          <w:numId w:val="0"/>
        </w:numPr>
        <w:bidi w:val="0"/>
        <w:ind w:left="420" w:leftChars="0"/>
        <w:rPr>
          <w:rFonts w:hint="eastAsia" w:ascii="宋体" w:hAnsi="宋体" w:eastAsia="宋体" w:cs="宋体"/>
          <w:sz w:val="28"/>
          <w:szCs w:val="28"/>
        </w:rPr>
      </w:pPr>
    </w:p>
    <w:p w14:paraId="77CBA28B">
      <w:pPr>
        <w:numPr>
          <w:ilvl w:val="0"/>
          <w:numId w:val="0"/>
        </w:numPr>
        <w:bidi w:val="0"/>
        <w:ind w:left="420" w:leftChars="0"/>
        <w:rPr>
          <w:rFonts w:hint="eastAsia" w:ascii="宋体" w:hAnsi="宋体" w:eastAsia="宋体" w:cs="宋体"/>
          <w:sz w:val="28"/>
          <w:szCs w:val="28"/>
        </w:rPr>
      </w:pPr>
    </w:p>
    <w:p w14:paraId="16512602">
      <w:pPr>
        <w:numPr>
          <w:ilvl w:val="0"/>
          <w:numId w:val="0"/>
        </w:numPr>
        <w:bidi w:val="0"/>
        <w:ind w:left="420" w:leftChars="0"/>
        <w:rPr>
          <w:rFonts w:hint="eastAsia" w:ascii="宋体" w:hAnsi="宋体" w:eastAsia="宋体" w:cs="宋体"/>
          <w:sz w:val="28"/>
          <w:szCs w:val="28"/>
        </w:rPr>
      </w:pPr>
    </w:p>
    <w:p w14:paraId="0A9BF83C">
      <w:pPr>
        <w:pStyle w:val="30"/>
        <w:rPr>
          <w:rFonts w:hint="eastAsia" w:ascii="宋体" w:hAnsi="宋体" w:eastAsia="宋体" w:cs="宋体"/>
          <w:sz w:val="28"/>
          <w:szCs w:val="28"/>
        </w:rPr>
      </w:pPr>
    </w:p>
    <w:p w14:paraId="23768144">
      <w:pPr>
        <w:pStyle w:val="30"/>
        <w:rPr>
          <w:rFonts w:hint="eastAsia" w:ascii="宋体" w:hAnsi="宋体" w:eastAsia="宋体" w:cs="宋体"/>
          <w:sz w:val="28"/>
          <w:szCs w:val="28"/>
        </w:rPr>
      </w:pPr>
    </w:p>
    <w:p w14:paraId="761A43FE">
      <w:pPr>
        <w:pStyle w:val="4"/>
        <w:numPr>
          <w:ilvl w:val="0"/>
          <w:numId w:val="10"/>
        </w:numPr>
        <w:bidi w:val="0"/>
        <w:ind w:left="0" w:leftChars="0" w:firstLine="420" w:firstLineChars="0"/>
        <w:rPr>
          <w:rFonts w:hint="eastAsia"/>
        </w:rPr>
      </w:pPr>
      <w:bookmarkStart w:id="45" w:name="_Toc16817"/>
      <w:bookmarkStart w:id="46" w:name="_Toc10458"/>
      <w:r>
        <w:rPr>
          <w:rFonts w:hint="eastAsia"/>
        </w:rPr>
        <w:t>法定代表人授权委托书</w:t>
      </w:r>
      <w:bookmarkEnd w:id="45"/>
      <w:bookmarkEnd w:id="46"/>
    </w:p>
    <w:p w14:paraId="29011F9F">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1D3E2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1D3E258"/>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D77F33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5D77F330"/>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14:paraId="4AB693E2">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14:paraId="28747F8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14:paraId="1ABF3E4E">
      <w:pPr>
        <w:numPr>
          <w:ilvl w:val="0"/>
          <w:numId w:val="0"/>
        </w:numPr>
        <w:bidi w:val="0"/>
        <w:ind w:left="420" w:leftChars="0"/>
        <w:rPr>
          <w:rFonts w:hint="eastAsia" w:ascii="宋体" w:hAnsi="宋体" w:eastAsia="宋体" w:cs="宋体"/>
          <w:sz w:val="28"/>
          <w:szCs w:val="28"/>
        </w:rPr>
      </w:pPr>
    </w:p>
    <w:p w14:paraId="44F90BC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14:paraId="2928694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88454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2884546"/>
                  </w:txbxContent>
                </v:textbox>
                <w10:wrap type="none"/>
                <w10:anchorlock/>
              </v:rect>
            </w:pict>
          </mc:Fallback>
        </mc:AlternateContent>
      </w:r>
      <w:r>
        <w:rPr>
          <w:rFonts w:hint="eastAsia" w:ascii="宋体" w:hAnsi="宋体" w:eastAsia="宋体" w:cs="宋体"/>
          <w:sz w:val="28"/>
          <w:szCs w:val="28"/>
        </w:rPr>
        <w:t xml:space="preserve">（盖单位章）   </w:t>
      </w:r>
    </w:p>
    <w:p w14:paraId="537A1D6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60E0705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3C41504A">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2222092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14:paraId="6FB4F7E1">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3CCA707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352EEF1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28DB03C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14:paraId="2AB001E0">
      <w:pPr>
        <w:numPr>
          <w:ilvl w:val="0"/>
          <w:numId w:val="0"/>
        </w:numPr>
        <w:bidi w:val="0"/>
        <w:ind w:left="420" w:leftChars="0"/>
        <w:rPr>
          <w:rFonts w:hint="eastAsia" w:ascii="宋体" w:hAnsi="宋体" w:eastAsia="宋体" w:cs="宋体"/>
          <w:sz w:val="28"/>
          <w:szCs w:val="28"/>
        </w:rPr>
      </w:pPr>
    </w:p>
    <w:p w14:paraId="54B31004">
      <w:pPr>
        <w:numPr>
          <w:ilvl w:val="0"/>
          <w:numId w:val="0"/>
        </w:numPr>
        <w:bidi w:val="0"/>
        <w:ind w:left="420" w:leftChars="0"/>
        <w:rPr>
          <w:rFonts w:hint="eastAsia" w:ascii="宋体" w:hAnsi="宋体" w:eastAsia="宋体" w:cs="宋体"/>
          <w:sz w:val="28"/>
          <w:szCs w:val="28"/>
          <w:lang w:val="en-US" w:eastAsia="zh-CN"/>
        </w:rPr>
      </w:pPr>
      <w:bookmarkStart w:id="47" w:name="_Toc28085"/>
      <w:bookmarkStart w:id="48" w:name="_Toc18040"/>
    </w:p>
    <w:p w14:paraId="2897621B">
      <w:pPr>
        <w:pStyle w:val="4"/>
        <w:numPr>
          <w:ilvl w:val="0"/>
          <w:numId w:val="10"/>
        </w:numPr>
        <w:bidi w:val="0"/>
        <w:ind w:left="0" w:leftChars="0" w:firstLine="420" w:firstLineChars="0"/>
        <w:rPr>
          <w:rFonts w:hint="eastAsia"/>
        </w:rPr>
      </w:pPr>
      <w:bookmarkStart w:id="49" w:name="_Toc1962"/>
      <w:r>
        <w:rPr>
          <w:rFonts w:hint="eastAsia"/>
        </w:rPr>
        <w:t>资格审查资料</w:t>
      </w:r>
      <w:bookmarkEnd w:id="49"/>
    </w:p>
    <w:p w14:paraId="7F662800">
      <w:pPr>
        <w:bidi w:val="0"/>
        <w:rPr>
          <w:rFonts w:hint="eastAsia"/>
          <w:sz w:val="28"/>
          <w:szCs w:val="28"/>
        </w:rPr>
      </w:pPr>
      <w:r>
        <w:rPr>
          <w:rFonts w:hint="eastAsia"/>
          <w:sz w:val="28"/>
          <w:szCs w:val="28"/>
        </w:rPr>
        <w:t>投标供应商基本情况表</w:t>
      </w:r>
      <w:bookmarkEnd w:id="47"/>
    </w:p>
    <w:tbl>
      <w:tblPr>
        <w:tblStyle w:val="2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7A4BB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771E1109">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14:paraId="73E0AD12">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14:paraId="677D791D">
            <w:pPr>
              <w:bidi w:val="0"/>
              <w:rPr>
                <w:rFonts w:hint="eastAsia" w:ascii="宋体" w:hAnsi="宋体" w:eastAsia="宋体" w:cs="宋体"/>
              </w:rPr>
            </w:pPr>
          </w:p>
        </w:tc>
      </w:tr>
      <w:tr w14:paraId="1258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2E0642B4">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14:paraId="3C09901F">
            <w:pPr>
              <w:bidi w:val="0"/>
              <w:rPr>
                <w:rFonts w:hint="eastAsia" w:ascii="宋体" w:hAnsi="宋体" w:eastAsia="宋体" w:cs="宋体"/>
              </w:rPr>
            </w:pPr>
          </w:p>
        </w:tc>
        <w:tc>
          <w:tcPr>
            <w:tcW w:w="1415" w:type="dxa"/>
            <w:tcBorders>
              <w:tl2br w:val="nil"/>
              <w:tr2bl w:val="nil"/>
            </w:tcBorders>
            <w:noWrap/>
            <w:tcFitText/>
            <w:vAlign w:val="center"/>
          </w:tcPr>
          <w:p w14:paraId="611AE1B9">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14:paraId="2B282D57">
            <w:pPr>
              <w:bidi w:val="0"/>
              <w:rPr>
                <w:rFonts w:hint="eastAsia" w:ascii="宋体" w:hAnsi="宋体" w:eastAsia="宋体" w:cs="宋体"/>
              </w:rPr>
            </w:pPr>
          </w:p>
        </w:tc>
      </w:tr>
      <w:tr w14:paraId="209B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17E85686">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14:paraId="482C8FE1">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14:paraId="5F829E9E">
            <w:pPr>
              <w:bidi w:val="0"/>
              <w:rPr>
                <w:rFonts w:hint="eastAsia" w:ascii="宋体" w:hAnsi="宋体" w:eastAsia="宋体" w:cs="宋体"/>
              </w:rPr>
            </w:pPr>
          </w:p>
        </w:tc>
        <w:tc>
          <w:tcPr>
            <w:tcW w:w="1415" w:type="dxa"/>
            <w:tcBorders>
              <w:tl2br w:val="nil"/>
              <w:tr2bl w:val="nil"/>
            </w:tcBorders>
            <w:noWrap/>
            <w:tcFitText/>
            <w:vAlign w:val="center"/>
          </w:tcPr>
          <w:p w14:paraId="5F768422">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14:paraId="20FAC5F1">
            <w:pPr>
              <w:bidi w:val="0"/>
              <w:rPr>
                <w:rFonts w:hint="eastAsia" w:ascii="宋体" w:hAnsi="宋体" w:eastAsia="宋体" w:cs="宋体"/>
              </w:rPr>
            </w:pPr>
          </w:p>
        </w:tc>
      </w:tr>
      <w:tr w14:paraId="4FEE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4EA63D3D">
            <w:pPr>
              <w:bidi w:val="0"/>
              <w:rPr>
                <w:rFonts w:hint="eastAsia" w:ascii="宋体" w:hAnsi="宋体" w:eastAsia="宋体" w:cs="宋体"/>
              </w:rPr>
            </w:pPr>
          </w:p>
        </w:tc>
        <w:tc>
          <w:tcPr>
            <w:tcW w:w="964" w:type="dxa"/>
            <w:tcBorders>
              <w:tl2br w:val="nil"/>
              <w:tr2bl w:val="nil"/>
            </w:tcBorders>
            <w:noWrap/>
            <w:tcFitText/>
            <w:vAlign w:val="center"/>
          </w:tcPr>
          <w:p w14:paraId="31CB9240">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14:paraId="15269D9D">
            <w:pPr>
              <w:bidi w:val="0"/>
              <w:rPr>
                <w:rFonts w:hint="eastAsia" w:ascii="宋体" w:hAnsi="宋体" w:eastAsia="宋体" w:cs="宋体"/>
              </w:rPr>
            </w:pPr>
          </w:p>
        </w:tc>
        <w:tc>
          <w:tcPr>
            <w:tcW w:w="1415" w:type="dxa"/>
            <w:tcBorders>
              <w:tl2br w:val="nil"/>
              <w:tr2bl w:val="nil"/>
            </w:tcBorders>
            <w:noWrap/>
            <w:tcFitText/>
            <w:vAlign w:val="center"/>
          </w:tcPr>
          <w:p w14:paraId="39225619">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14:paraId="183182E1">
            <w:pPr>
              <w:bidi w:val="0"/>
              <w:rPr>
                <w:rFonts w:hint="eastAsia" w:ascii="宋体" w:hAnsi="宋体" w:eastAsia="宋体" w:cs="宋体"/>
              </w:rPr>
            </w:pPr>
          </w:p>
        </w:tc>
      </w:tr>
      <w:tr w14:paraId="7001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9D87771">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14:paraId="6DF5B707">
            <w:pPr>
              <w:bidi w:val="0"/>
              <w:rPr>
                <w:rFonts w:hint="eastAsia" w:ascii="宋体" w:hAnsi="宋体" w:eastAsia="宋体" w:cs="宋体"/>
              </w:rPr>
            </w:pPr>
          </w:p>
        </w:tc>
      </w:tr>
      <w:tr w14:paraId="44A3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893A8D1">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14:paraId="7CDA93FC">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7874CFD8">
            <w:pPr>
              <w:bidi w:val="0"/>
              <w:rPr>
                <w:rFonts w:hint="eastAsia" w:ascii="宋体" w:hAnsi="宋体" w:eastAsia="宋体" w:cs="宋体"/>
              </w:rPr>
            </w:pPr>
          </w:p>
        </w:tc>
        <w:tc>
          <w:tcPr>
            <w:tcW w:w="1415" w:type="dxa"/>
            <w:tcBorders>
              <w:tl2br w:val="nil"/>
              <w:tr2bl w:val="nil"/>
            </w:tcBorders>
            <w:noWrap/>
            <w:tcFitText/>
            <w:vAlign w:val="center"/>
          </w:tcPr>
          <w:p w14:paraId="7C18FA22">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4E8A72F2">
            <w:pPr>
              <w:bidi w:val="0"/>
              <w:rPr>
                <w:rFonts w:hint="eastAsia" w:ascii="宋体" w:hAnsi="宋体" w:eastAsia="宋体" w:cs="宋体"/>
              </w:rPr>
            </w:pPr>
          </w:p>
        </w:tc>
        <w:tc>
          <w:tcPr>
            <w:tcW w:w="762" w:type="dxa"/>
            <w:tcBorders>
              <w:tl2br w:val="nil"/>
              <w:tr2bl w:val="nil"/>
            </w:tcBorders>
            <w:noWrap/>
            <w:tcFitText/>
            <w:vAlign w:val="center"/>
          </w:tcPr>
          <w:p w14:paraId="0459D75C">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6F6E1647">
            <w:pPr>
              <w:bidi w:val="0"/>
              <w:rPr>
                <w:rFonts w:hint="eastAsia" w:ascii="宋体" w:hAnsi="宋体" w:eastAsia="宋体" w:cs="宋体"/>
              </w:rPr>
            </w:pPr>
          </w:p>
        </w:tc>
      </w:tr>
      <w:tr w14:paraId="1725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73DD3C">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14:paraId="35914AF3">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12368E37">
            <w:pPr>
              <w:bidi w:val="0"/>
              <w:rPr>
                <w:rFonts w:hint="eastAsia" w:ascii="宋体" w:hAnsi="宋体" w:eastAsia="宋体" w:cs="宋体"/>
              </w:rPr>
            </w:pPr>
          </w:p>
        </w:tc>
        <w:tc>
          <w:tcPr>
            <w:tcW w:w="1415" w:type="dxa"/>
            <w:tcBorders>
              <w:tl2br w:val="nil"/>
              <w:tr2bl w:val="nil"/>
            </w:tcBorders>
            <w:noWrap/>
            <w:tcFitText/>
            <w:vAlign w:val="center"/>
          </w:tcPr>
          <w:p w14:paraId="2151BD97">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7D926206">
            <w:pPr>
              <w:bidi w:val="0"/>
              <w:rPr>
                <w:rFonts w:hint="eastAsia" w:ascii="宋体" w:hAnsi="宋体" w:eastAsia="宋体" w:cs="宋体"/>
              </w:rPr>
            </w:pPr>
          </w:p>
        </w:tc>
        <w:tc>
          <w:tcPr>
            <w:tcW w:w="762" w:type="dxa"/>
            <w:tcBorders>
              <w:tl2br w:val="nil"/>
              <w:tr2bl w:val="nil"/>
            </w:tcBorders>
            <w:noWrap/>
            <w:tcFitText/>
            <w:vAlign w:val="center"/>
          </w:tcPr>
          <w:p w14:paraId="27D339A2">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0DA4199C">
            <w:pPr>
              <w:bidi w:val="0"/>
              <w:rPr>
                <w:rFonts w:hint="eastAsia" w:ascii="宋体" w:hAnsi="宋体" w:eastAsia="宋体" w:cs="宋体"/>
              </w:rPr>
            </w:pPr>
          </w:p>
        </w:tc>
      </w:tr>
      <w:tr w14:paraId="455E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1044F84">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14:paraId="52B6F7C7">
            <w:pPr>
              <w:bidi w:val="0"/>
              <w:rPr>
                <w:rFonts w:hint="eastAsia" w:ascii="宋体" w:hAnsi="宋体" w:eastAsia="宋体" w:cs="宋体"/>
              </w:rPr>
            </w:pPr>
          </w:p>
        </w:tc>
        <w:tc>
          <w:tcPr>
            <w:tcW w:w="1415" w:type="dxa"/>
            <w:tcBorders>
              <w:tl2br w:val="nil"/>
              <w:tr2bl w:val="nil"/>
            </w:tcBorders>
            <w:noWrap/>
            <w:tcFitText/>
            <w:vAlign w:val="center"/>
          </w:tcPr>
          <w:p w14:paraId="7682833B">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14:paraId="0DEE2829">
            <w:pPr>
              <w:bidi w:val="0"/>
              <w:rPr>
                <w:rFonts w:hint="eastAsia" w:ascii="宋体" w:hAnsi="宋体" w:eastAsia="宋体" w:cs="宋体"/>
              </w:rPr>
            </w:pPr>
          </w:p>
        </w:tc>
      </w:tr>
      <w:tr w14:paraId="146E1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60C46B3">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14:paraId="39D5DC5D">
            <w:pPr>
              <w:bidi w:val="0"/>
              <w:rPr>
                <w:rFonts w:hint="eastAsia" w:ascii="宋体" w:hAnsi="宋体" w:eastAsia="宋体" w:cs="宋体"/>
              </w:rPr>
            </w:pPr>
          </w:p>
        </w:tc>
        <w:tc>
          <w:tcPr>
            <w:tcW w:w="1415" w:type="dxa"/>
            <w:vMerge w:val="restart"/>
            <w:tcBorders>
              <w:tl2br w:val="nil"/>
              <w:tr2bl w:val="nil"/>
            </w:tcBorders>
            <w:noWrap/>
            <w:tcFitText/>
            <w:vAlign w:val="center"/>
          </w:tcPr>
          <w:p w14:paraId="1B90B752">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14:paraId="1DC93488">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14:paraId="58636455">
            <w:pPr>
              <w:bidi w:val="0"/>
              <w:rPr>
                <w:rFonts w:hint="eastAsia" w:ascii="宋体" w:hAnsi="宋体" w:eastAsia="宋体" w:cs="宋体"/>
              </w:rPr>
            </w:pPr>
          </w:p>
        </w:tc>
      </w:tr>
      <w:tr w14:paraId="79C9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059F3BF">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14:paraId="75AFBDCB">
            <w:pPr>
              <w:bidi w:val="0"/>
              <w:rPr>
                <w:rFonts w:hint="eastAsia" w:ascii="宋体" w:hAnsi="宋体" w:eastAsia="宋体" w:cs="宋体"/>
              </w:rPr>
            </w:pPr>
          </w:p>
        </w:tc>
        <w:tc>
          <w:tcPr>
            <w:tcW w:w="1415" w:type="dxa"/>
            <w:vMerge w:val="continue"/>
            <w:tcBorders>
              <w:tl2br w:val="nil"/>
              <w:tr2bl w:val="nil"/>
            </w:tcBorders>
            <w:noWrap/>
            <w:tcFitText/>
            <w:vAlign w:val="center"/>
          </w:tcPr>
          <w:p w14:paraId="0A9909D4">
            <w:pPr>
              <w:bidi w:val="0"/>
              <w:rPr>
                <w:rFonts w:hint="eastAsia" w:ascii="宋体" w:hAnsi="宋体" w:eastAsia="宋体" w:cs="宋体"/>
              </w:rPr>
            </w:pPr>
          </w:p>
        </w:tc>
        <w:tc>
          <w:tcPr>
            <w:tcW w:w="1305" w:type="dxa"/>
            <w:tcBorders>
              <w:tl2br w:val="nil"/>
              <w:tr2bl w:val="nil"/>
            </w:tcBorders>
            <w:noWrap/>
            <w:tcFitText/>
            <w:vAlign w:val="center"/>
          </w:tcPr>
          <w:p w14:paraId="43FD325C">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46DAF47D">
            <w:pPr>
              <w:bidi w:val="0"/>
              <w:rPr>
                <w:rFonts w:hint="eastAsia" w:ascii="宋体" w:hAnsi="宋体" w:eastAsia="宋体" w:cs="宋体"/>
              </w:rPr>
            </w:pPr>
          </w:p>
        </w:tc>
      </w:tr>
      <w:tr w14:paraId="7D648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8A73D8">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14:paraId="354F346C">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14:paraId="14E8C47A">
            <w:pPr>
              <w:bidi w:val="0"/>
              <w:rPr>
                <w:rFonts w:hint="eastAsia" w:ascii="宋体" w:hAnsi="宋体" w:eastAsia="宋体" w:cs="宋体"/>
              </w:rPr>
            </w:pPr>
          </w:p>
        </w:tc>
        <w:tc>
          <w:tcPr>
            <w:tcW w:w="1305" w:type="dxa"/>
            <w:tcBorders>
              <w:tl2br w:val="nil"/>
              <w:tr2bl w:val="nil"/>
            </w:tcBorders>
            <w:noWrap/>
            <w:tcFitText/>
            <w:vAlign w:val="center"/>
          </w:tcPr>
          <w:p w14:paraId="56DDD5F0">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73E927DE">
            <w:pPr>
              <w:bidi w:val="0"/>
              <w:rPr>
                <w:rFonts w:hint="eastAsia" w:ascii="宋体" w:hAnsi="宋体" w:eastAsia="宋体" w:cs="宋体"/>
              </w:rPr>
            </w:pPr>
          </w:p>
        </w:tc>
      </w:tr>
      <w:tr w14:paraId="184E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D964F2C">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14:paraId="2CBB7970">
            <w:pPr>
              <w:bidi w:val="0"/>
              <w:rPr>
                <w:rFonts w:hint="eastAsia" w:ascii="宋体" w:hAnsi="宋体" w:eastAsia="宋体" w:cs="宋体"/>
              </w:rPr>
            </w:pPr>
          </w:p>
        </w:tc>
        <w:tc>
          <w:tcPr>
            <w:tcW w:w="1415" w:type="dxa"/>
            <w:vMerge w:val="continue"/>
            <w:tcBorders>
              <w:tl2br w:val="nil"/>
              <w:tr2bl w:val="nil"/>
            </w:tcBorders>
            <w:noWrap/>
            <w:tcFitText/>
            <w:vAlign w:val="center"/>
          </w:tcPr>
          <w:p w14:paraId="630B4DA0">
            <w:pPr>
              <w:bidi w:val="0"/>
              <w:rPr>
                <w:rFonts w:hint="eastAsia" w:ascii="宋体" w:hAnsi="宋体" w:eastAsia="宋体" w:cs="宋体"/>
              </w:rPr>
            </w:pPr>
          </w:p>
        </w:tc>
        <w:tc>
          <w:tcPr>
            <w:tcW w:w="1305" w:type="dxa"/>
            <w:tcBorders>
              <w:tl2br w:val="nil"/>
              <w:tr2bl w:val="nil"/>
            </w:tcBorders>
            <w:noWrap/>
            <w:tcFitText/>
            <w:vAlign w:val="center"/>
          </w:tcPr>
          <w:p w14:paraId="54AE08F2">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5F4C235E">
            <w:pPr>
              <w:bidi w:val="0"/>
              <w:rPr>
                <w:rFonts w:hint="eastAsia" w:ascii="宋体" w:hAnsi="宋体" w:eastAsia="宋体" w:cs="宋体"/>
              </w:rPr>
            </w:pPr>
          </w:p>
        </w:tc>
      </w:tr>
      <w:tr w14:paraId="639C4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E7C96E3">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14:paraId="4B4A614A">
            <w:pPr>
              <w:bidi w:val="0"/>
              <w:rPr>
                <w:rFonts w:hint="eastAsia" w:ascii="宋体" w:hAnsi="宋体" w:eastAsia="宋体" w:cs="宋体"/>
              </w:rPr>
            </w:pPr>
          </w:p>
        </w:tc>
        <w:tc>
          <w:tcPr>
            <w:tcW w:w="1415" w:type="dxa"/>
            <w:vMerge w:val="continue"/>
            <w:tcBorders>
              <w:tl2br w:val="nil"/>
              <w:tr2bl w:val="nil"/>
            </w:tcBorders>
            <w:noWrap/>
            <w:tcFitText/>
            <w:vAlign w:val="center"/>
          </w:tcPr>
          <w:p w14:paraId="4C2E5DA8">
            <w:pPr>
              <w:bidi w:val="0"/>
              <w:rPr>
                <w:rFonts w:hint="eastAsia" w:ascii="宋体" w:hAnsi="宋体" w:eastAsia="宋体" w:cs="宋体"/>
              </w:rPr>
            </w:pPr>
          </w:p>
        </w:tc>
        <w:tc>
          <w:tcPr>
            <w:tcW w:w="1305" w:type="dxa"/>
            <w:tcBorders>
              <w:tl2br w:val="nil"/>
              <w:tr2bl w:val="nil"/>
            </w:tcBorders>
            <w:noWrap/>
            <w:tcFitText/>
            <w:vAlign w:val="center"/>
          </w:tcPr>
          <w:p w14:paraId="52A2D9E5">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14:paraId="7166045B">
            <w:pPr>
              <w:bidi w:val="0"/>
              <w:rPr>
                <w:rFonts w:hint="eastAsia" w:ascii="宋体" w:hAnsi="宋体" w:eastAsia="宋体" w:cs="宋体"/>
              </w:rPr>
            </w:pPr>
          </w:p>
        </w:tc>
      </w:tr>
      <w:tr w14:paraId="1D39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3B74BC2">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14:paraId="70AB360F">
            <w:pPr>
              <w:bidi w:val="0"/>
              <w:rPr>
                <w:rFonts w:hint="eastAsia" w:ascii="宋体" w:hAnsi="宋体" w:eastAsia="宋体" w:cs="宋体"/>
              </w:rPr>
            </w:pPr>
          </w:p>
        </w:tc>
      </w:tr>
      <w:tr w14:paraId="7088D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7A6E1F13">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14:paraId="55F5FAD7">
            <w:pPr>
              <w:bidi w:val="0"/>
              <w:rPr>
                <w:rFonts w:hint="eastAsia" w:ascii="宋体" w:hAnsi="宋体" w:eastAsia="宋体" w:cs="宋体"/>
              </w:rPr>
            </w:pPr>
          </w:p>
        </w:tc>
      </w:tr>
    </w:tbl>
    <w:p w14:paraId="680D5638">
      <w:pPr>
        <w:bidi w:val="0"/>
        <w:rPr>
          <w:rFonts w:hint="eastAsia" w:ascii="宋体" w:hAnsi="宋体" w:eastAsia="宋体" w:cs="宋体"/>
          <w:szCs w:val="28"/>
        </w:rPr>
      </w:pPr>
      <w:r>
        <w:rPr>
          <w:rFonts w:hint="eastAsia"/>
        </w:rPr>
        <w:t>备注：1.本表后应附资质要求对应的相关证明材料复印件；2.无响应指标的应写明无。</w:t>
      </w:r>
    </w:p>
    <w:p w14:paraId="20AC3484">
      <w:pPr>
        <w:numPr>
          <w:ilvl w:val="0"/>
          <w:numId w:val="0"/>
        </w:numPr>
        <w:bidi w:val="0"/>
        <w:ind w:left="420" w:leftChars="0"/>
        <w:rPr>
          <w:rFonts w:hint="eastAsia" w:ascii="宋体" w:hAnsi="宋体" w:eastAsia="宋体" w:cs="宋体"/>
          <w:sz w:val="28"/>
          <w:szCs w:val="28"/>
        </w:rPr>
      </w:pPr>
    </w:p>
    <w:p w14:paraId="4A1FE2C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14:paraId="6566F7A8">
      <w:pPr>
        <w:numPr>
          <w:ilvl w:val="0"/>
          <w:numId w:val="0"/>
        </w:numPr>
        <w:bidi w:val="0"/>
        <w:ind w:left="420" w:leftChars="0"/>
        <w:rPr>
          <w:rFonts w:hint="eastAsia" w:ascii="宋体" w:hAnsi="宋体" w:eastAsia="宋体" w:cs="宋体"/>
          <w:sz w:val="28"/>
          <w:szCs w:val="28"/>
        </w:rPr>
      </w:pPr>
      <w:bookmarkStart w:id="50" w:name="_Toc15698"/>
      <w:r>
        <w:rPr>
          <w:rFonts w:hint="eastAsia" w:ascii="宋体" w:hAnsi="宋体" w:eastAsia="宋体" w:cs="宋体"/>
          <w:sz w:val="28"/>
          <w:szCs w:val="28"/>
        </w:rPr>
        <w:t>附：</w:t>
      </w:r>
    </w:p>
    <w:p w14:paraId="5C3208D1">
      <w:pPr>
        <w:pStyle w:val="5"/>
        <w:numPr>
          <w:ilvl w:val="0"/>
          <w:numId w:val="12"/>
        </w:numPr>
        <w:bidi w:val="0"/>
        <w:ind w:left="0" w:leftChars="0" w:firstLine="420" w:firstLineChars="0"/>
        <w:jc w:val="center"/>
        <w:rPr>
          <w:rFonts w:hint="eastAsia"/>
          <w:sz w:val="28"/>
          <w:szCs w:val="28"/>
        </w:rPr>
      </w:pPr>
      <w:bookmarkStart w:id="51" w:name="_Toc31248"/>
      <w:r>
        <w:rPr>
          <w:rFonts w:hint="eastAsia" w:eastAsia="宋体"/>
        </w:rPr>
        <w:t>独立承担民事责任的能力</w:t>
      </w:r>
      <w:bookmarkEnd w:id="50"/>
      <w:bookmarkEnd w:id="51"/>
    </w:p>
    <w:p w14:paraId="32B93582">
      <w:pPr>
        <w:numPr>
          <w:ilvl w:val="0"/>
          <w:numId w:val="0"/>
        </w:numPr>
        <w:bidi w:val="0"/>
        <w:ind w:leftChars="0"/>
        <w:rPr>
          <w:rFonts w:hint="eastAsia"/>
        </w:rPr>
      </w:pPr>
      <w:r>
        <w:rPr>
          <w:rFonts w:hint="eastAsia"/>
        </w:rPr>
        <w:t>营业执照加盖公章</w:t>
      </w:r>
    </w:p>
    <w:p w14:paraId="58340C18">
      <w:pPr>
        <w:pStyle w:val="2"/>
        <w:numPr>
          <w:ilvl w:val="3"/>
          <w:numId w:val="0"/>
        </w:numPr>
        <w:ind w:left="480" w:leftChars="0"/>
        <w:rPr>
          <w:rFonts w:hint="eastAsia"/>
        </w:rPr>
      </w:pPr>
    </w:p>
    <w:p w14:paraId="2D4DB2A6">
      <w:pPr>
        <w:rPr>
          <w:rFonts w:hint="eastAsia"/>
        </w:rPr>
      </w:pPr>
    </w:p>
    <w:p w14:paraId="3721353A">
      <w:pPr>
        <w:pStyle w:val="5"/>
        <w:numPr>
          <w:ilvl w:val="0"/>
          <w:numId w:val="12"/>
        </w:numPr>
        <w:bidi w:val="0"/>
        <w:ind w:left="0" w:leftChars="0" w:firstLine="420" w:firstLineChars="0"/>
        <w:jc w:val="center"/>
        <w:rPr>
          <w:rFonts w:hint="eastAsia" w:eastAsia="宋体"/>
        </w:rPr>
      </w:pPr>
      <w:r>
        <w:rPr>
          <w:rFonts w:hint="eastAsia" w:eastAsia="宋体"/>
          <w:lang w:val="en-US" w:eastAsia="zh-CN"/>
        </w:rPr>
        <w:t>特定资格证明材料</w:t>
      </w:r>
    </w:p>
    <w:p w14:paraId="27C5CC2A">
      <w:pPr>
        <w:pStyle w:val="2"/>
        <w:rPr>
          <w:rFonts w:hint="eastAsia"/>
        </w:rPr>
        <w:sectPr>
          <w:pgSz w:w="11906" w:h="16838"/>
          <w:pgMar w:top="1440" w:right="1140" w:bottom="1440" w:left="1423" w:header="851" w:footer="992" w:gutter="0"/>
          <w:cols w:space="0" w:num="1"/>
          <w:rtlGutter w:val="0"/>
          <w:docGrid w:type="lines" w:linePitch="312" w:charSpace="0"/>
        </w:sectPr>
      </w:pPr>
    </w:p>
    <w:p w14:paraId="7A9609A0">
      <w:pPr>
        <w:pStyle w:val="5"/>
        <w:numPr>
          <w:ilvl w:val="0"/>
          <w:numId w:val="12"/>
        </w:numPr>
        <w:bidi w:val="0"/>
        <w:ind w:left="0" w:leftChars="0" w:firstLine="420" w:firstLineChars="0"/>
        <w:jc w:val="center"/>
        <w:rPr>
          <w:rFonts w:hint="eastAsia"/>
        </w:rPr>
      </w:pPr>
      <w:bookmarkStart w:id="52" w:name="_Toc24349"/>
      <w:bookmarkStart w:id="53" w:name="_Toc29012"/>
      <w:r>
        <w:rPr>
          <w:rFonts w:hint="eastAsia"/>
        </w:rPr>
        <w:t>资格承诺函</w:t>
      </w:r>
      <w:bookmarkEnd w:id="52"/>
    </w:p>
    <w:p w14:paraId="56E2EC1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14:paraId="514CF20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14:paraId="71CEB86F">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14:paraId="4018136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14:paraId="1B7E475D">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14:paraId="640EFDD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14:paraId="058D857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14:paraId="42665AF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14:paraId="7791E843">
      <w:pPr>
        <w:numPr>
          <w:ilvl w:val="0"/>
          <w:numId w:val="0"/>
        </w:numPr>
        <w:bidi w:val="0"/>
        <w:ind w:left="0" w:leftChars="0" w:firstLine="0" w:firstLineChars="0"/>
        <w:rPr>
          <w:rFonts w:hint="eastAsia" w:ascii="宋体" w:hAnsi="宋体" w:eastAsia="宋体" w:cs="宋体"/>
          <w:sz w:val="28"/>
          <w:szCs w:val="28"/>
        </w:rPr>
      </w:pPr>
    </w:p>
    <w:p w14:paraId="3A07CE6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14:paraId="73F2B031">
      <w:pPr>
        <w:numPr>
          <w:ilvl w:val="0"/>
          <w:numId w:val="0"/>
        </w:numPr>
        <w:bidi w:val="0"/>
        <w:ind w:left="0" w:leftChars="0" w:firstLine="0" w:firstLineChars="0"/>
        <w:rPr>
          <w:rFonts w:hint="eastAsia" w:ascii="宋体" w:hAnsi="宋体" w:eastAsia="宋体" w:cs="宋体"/>
          <w:sz w:val="28"/>
          <w:szCs w:val="28"/>
        </w:rPr>
      </w:pPr>
    </w:p>
    <w:p w14:paraId="1074A7BD">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53"/>
    <w:p w14:paraId="0D1914E1">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4D7329F1">
      <w:pPr>
        <w:numPr>
          <w:ilvl w:val="0"/>
          <w:numId w:val="0"/>
        </w:numPr>
        <w:bidi w:val="0"/>
        <w:ind w:left="0" w:leftChars="0" w:firstLine="0" w:firstLineChars="0"/>
        <w:rPr>
          <w:rFonts w:hint="eastAsia" w:ascii="宋体" w:hAnsi="宋体" w:cs="宋体"/>
          <w:sz w:val="28"/>
          <w:szCs w:val="28"/>
          <w:lang w:val="en-US" w:eastAsia="zh-CN"/>
        </w:rPr>
      </w:pPr>
    </w:p>
    <w:p w14:paraId="7796ED42">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14:paraId="3A2CE0E1">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72D4A576">
      <w:pPr>
        <w:numPr>
          <w:ilvl w:val="0"/>
          <w:numId w:val="0"/>
        </w:numPr>
        <w:bidi w:val="0"/>
        <w:ind w:left="0" w:leftChars="0" w:firstLine="0" w:firstLineChars="0"/>
        <w:rPr>
          <w:rFonts w:hint="eastAsia" w:ascii="宋体" w:hAnsi="宋体" w:eastAsia="宋体" w:cs="宋体"/>
          <w:sz w:val="28"/>
          <w:szCs w:val="28"/>
        </w:rPr>
      </w:pPr>
    </w:p>
    <w:p w14:paraId="01F7D816">
      <w:pPr>
        <w:numPr>
          <w:ilvl w:val="0"/>
          <w:numId w:val="0"/>
        </w:numPr>
        <w:bidi w:val="0"/>
        <w:ind w:left="420" w:leftChars="0"/>
        <w:rPr>
          <w:rFonts w:hint="eastAsia" w:ascii="宋体" w:hAnsi="宋体" w:eastAsia="宋体" w:cs="宋体"/>
          <w:sz w:val="28"/>
          <w:szCs w:val="28"/>
        </w:rPr>
      </w:pPr>
    </w:p>
    <w:p w14:paraId="5D44B3F9">
      <w:pPr>
        <w:numPr>
          <w:ilvl w:val="0"/>
          <w:numId w:val="0"/>
        </w:numPr>
        <w:bidi w:val="0"/>
        <w:ind w:left="420" w:leftChars="0"/>
        <w:rPr>
          <w:rFonts w:hint="eastAsia" w:ascii="宋体" w:hAnsi="宋体" w:eastAsia="宋体" w:cs="宋体"/>
          <w:sz w:val="28"/>
          <w:szCs w:val="28"/>
        </w:rPr>
      </w:pPr>
    </w:p>
    <w:p w14:paraId="1156065F">
      <w:pPr>
        <w:numPr>
          <w:ilvl w:val="0"/>
          <w:numId w:val="0"/>
        </w:numPr>
        <w:bidi w:val="0"/>
        <w:ind w:left="420" w:leftChars="0"/>
        <w:rPr>
          <w:rFonts w:hint="eastAsia" w:ascii="宋体" w:hAnsi="宋体" w:eastAsia="宋体" w:cs="宋体"/>
          <w:sz w:val="28"/>
          <w:szCs w:val="28"/>
        </w:rPr>
      </w:pPr>
    </w:p>
    <w:p w14:paraId="78FDCEAF">
      <w:pPr>
        <w:pStyle w:val="29"/>
        <w:rPr>
          <w:rFonts w:hint="eastAsia"/>
        </w:rPr>
      </w:pPr>
    </w:p>
    <w:p w14:paraId="39F86B54">
      <w:pPr>
        <w:numPr>
          <w:ilvl w:val="0"/>
          <w:numId w:val="12"/>
        </w:numPr>
        <w:spacing w:line="360" w:lineRule="auto"/>
        <w:ind w:left="0" w:leftChars="0" w:firstLine="0" w:firstLineChars="0"/>
        <w:jc w:val="center"/>
        <w:outlineLvl w:val="2"/>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14:paraId="0E0BD153">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360291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57A769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2727E6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3B2E37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0F30AE25">
      <w:pPr>
        <w:pStyle w:val="24"/>
        <w:rPr>
          <w:rFonts w:hint="eastAsia" w:ascii="微软雅黑" w:hAnsi="微软雅黑" w:eastAsia="微软雅黑" w:cs="微软雅黑"/>
          <w:color w:val="auto"/>
          <w:sz w:val="24"/>
          <w:szCs w:val="24"/>
          <w:highlight w:val="none"/>
          <w:lang w:val="en-US" w:eastAsia="zh-CN"/>
        </w:rPr>
      </w:pPr>
    </w:p>
    <w:p w14:paraId="6BE99C8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14466CF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7703EB1">
      <w:pPr>
        <w:numPr>
          <w:ilvl w:val="0"/>
          <w:numId w:val="0"/>
        </w:numPr>
        <w:bidi w:val="0"/>
        <w:ind w:left="420" w:leftChars="0"/>
        <w:jc w:val="center"/>
        <w:rPr>
          <w:rFonts w:hint="eastAsia" w:ascii="宋体" w:hAnsi="宋体" w:eastAsia="宋体" w:cs="宋体"/>
          <w:sz w:val="28"/>
          <w:szCs w:val="28"/>
        </w:rPr>
      </w:pPr>
    </w:p>
    <w:p w14:paraId="6AAF13DE">
      <w:pPr>
        <w:numPr>
          <w:ilvl w:val="0"/>
          <w:numId w:val="0"/>
        </w:numPr>
        <w:bidi w:val="0"/>
        <w:ind w:left="420" w:leftChars="0"/>
        <w:rPr>
          <w:rFonts w:hint="eastAsia" w:ascii="宋体" w:hAnsi="宋体" w:eastAsia="宋体" w:cs="宋体"/>
          <w:sz w:val="28"/>
          <w:szCs w:val="28"/>
        </w:rPr>
      </w:pPr>
    </w:p>
    <w:p w14:paraId="63EFC7B5">
      <w:pPr>
        <w:numPr>
          <w:ilvl w:val="0"/>
          <w:numId w:val="0"/>
        </w:numPr>
        <w:bidi w:val="0"/>
        <w:ind w:left="420" w:leftChars="0"/>
        <w:rPr>
          <w:rFonts w:hint="eastAsia" w:ascii="宋体" w:hAnsi="宋体" w:eastAsia="宋体" w:cs="宋体"/>
          <w:sz w:val="28"/>
          <w:szCs w:val="28"/>
        </w:rPr>
      </w:pPr>
    </w:p>
    <w:p w14:paraId="115BDD6B">
      <w:pPr>
        <w:numPr>
          <w:ilvl w:val="0"/>
          <w:numId w:val="0"/>
        </w:numPr>
        <w:bidi w:val="0"/>
        <w:ind w:left="420" w:leftChars="0"/>
        <w:rPr>
          <w:rFonts w:hint="eastAsia" w:ascii="宋体" w:hAnsi="宋体" w:eastAsia="宋体" w:cs="宋体"/>
          <w:sz w:val="28"/>
          <w:szCs w:val="28"/>
        </w:rPr>
      </w:pPr>
    </w:p>
    <w:p w14:paraId="5574E54C">
      <w:pPr>
        <w:numPr>
          <w:ilvl w:val="0"/>
          <w:numId w:val="0"/>
        </w:numPr>
        <w:bidi w:val="0"/>
        <w:ind w:left="420" w:leftChars="0"/>
        <w:rPr>
          <w:rFonts w:hint="eastAsia" w:ascii="宋体" w:hAnsi="宋体" w:eastAsia="宋体" w:cs="宋体"/>
          <w:sz w:val="28"/>
          <w:szCs w:val="28"/>
        </w:rPr>
      </w:pPr>
    </w:p>
    <w:p w14:paraId="73B7D676">
      <w:pPr>
        <w:numPr>
          <w:ilvl w:val="0"/>
          <w:numId w:val="0"/>
        </w:numPr>
        <w:bidi w:val="0"/>
        <w:ind w:left="420" w:leftChars="0"/>
        <w:rPr>
          <w:rFonts w:hint="eastAsia" w:ascii="宋体" w:hAnsi="宋体" w:eastAsia="宋体" w:cs="宋体"/>
          <w:sz w:val="28"/>
          <w:szCs w:val="28"/>
        </w:rPr>
      </w:pPr>
    </w:p>
    <w:p w14:paraId="3F5ABE5B">
      <w:pPr>
        <w:numPr>
          <w:ilvl w:val="0"/>
          <w:numId w:val="0"/>
        </w:numPr>
        <w:bidi w:val="0"/>
        <w:ind w:left="420" w:leftChars="0"/>
        <w:rPr>
          <w:rFonts w:hint="eastAsia" w:ascii="宋体" w:hAnsi="宋体" w:eastAsia="宋体" w:cs="宋体"/>
          <w:sz w:val="28"/>
          <w:szCs w:val="28"/>
        </w:rPr>
      </w:pPr>
    </w:p>
    <w:p w14:paraId="0F0E891F">
      <w:pPr>
        <w:numPr>
          <w:ilvl w:val="0"/>
          <w:numId w:val="0"/>
        </w:numPr>
        <w:bidi w:val="0"/>
        <w:ind w:left="420" w:leftChars="0"/>
        <w:rPr>
          <w:rFonts w:hint="eastAsia" w:ascii="宋体" w:hAnsi="宋体" w:eastAsia="宋体" w:cs="宋体"/>
          <w:sz w:val="28"/>
          <w:szCs w:val="28"/>
        </w:rPr>
      </w:pPr>
    </w:p>
    <w:bookmarkEnd w:id="48"/>
    <w:p w14:paraId="46C7DEFB">
      <w:pPr>
        <w:pStyle w:val="4"/>
        <w:numPr>
          <w:ilvl w:val="0"/>
          <w:numId w:val="13"/>
        </w:numPr>
        <w:bidi w:val="0"/>
        <w:ind w:left="0" w:leftChars="0" w:firstLine="420" w:firstLineChars="0"/>
        <w:rPr>
          <w:rFonts w:hint="eastAsia"/>
          <w:lang w:val="en-US" w:eastAsia="zh-CN"/>
        </w:rPr>
      </w:pPr>
      <w:bookmarkStart w:id="54" w:name="_Toc24976"/>
      <w:r>
        <w:rPr>
          <w:rFonts w:hint="eastAsia"/>
          <w:lang w:val="en-US" w:eastAsia="zh-CN"/>
        </w:rPr>
        <w:t>技术服务要求响应偏离表</w:t>
      </w:r>
      <w:bookmarkEnd w:id="54"/>
    </w:p>
    <w:p w14:paraId="1843515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35E3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5CB26CD3">
            <w:pPr>
              <w:bidi w:val="0"/>
              <w:jc w:val="center"/>
              <w:rPr>
                <w:rFonts w:hint="eastAsia"/>
              </w:rPr>
            </w:pPr>
            <w:r>
              <w:rPr>
                <w:rFonts w:hint="eastAsia"/>
              </w:rPr>
              <w:t>序号</w:t>
            </w:r>
          </w:p>
        </w:tc>
        <w:tc>
          <w:tcPr>
            <w:tcW w:w="3314" w:type="dxa"/>
            <w:vAlign w:val="center"/>
          </w:tcPr>
          <w:p w14:paraId="3704E54A">
            <w:pPr>
              <w:bidi w:val="0"/>
              <w:rPr>
                <w:rFonts w:hint="eastAsia"/>
              </w:rPr>
            </w:pPr>
            <w:r>
              <w:rPr>
                <w:rFonts w:hint="eastAsia"/>
              </w:rPr>
              <w:t>采购文件规定的技术和服务要求</w:t>
            </w:r>
          </w:p>
        </w:tc>
        <w:tc>
          <w:tcPr>
            <w:tcW w:w="3019" w:type="dxa"/>
            <w:vAlign w:val="center"/>
          </w:tcPr>
          <w:p w14:paraId="5EF8B8E1">
            <w:pPr>
              <w:bidi w:val="0"/>
              <w:rPr>
                <w:rFonts w:hint="eastAsia"/>
              </w:rPr>
            </w:pPr>
            <w:r>
              <w:rPr>
                <w:rFonts w:hint="eastAsia"/>
              </w:rPr>
              <w:t>投标文件响应的具体内容</w:t>
            </w:r>
          </w:p>
        </w:tc>
        <w:tc>
          <w:tcPr>
            <w:tcW w:w="928" w:type="dxa"/>
            <w:vAlign w:val="center"/>
          </w:tcPr>
          <w:p w14:paraId="31A312DB">
            <w:pPr>
              <w:bidi w:val="0"/>
              <w:rPr>
                <w:rFonts w:hint="eastAsia"/>
              </w:rPr>
            </w:pPr>
            <w:r>
              <w:rPr>
                <w:rFonts w:hint="eastAsia"/>
              </w:rPr>
              <w:t>是否偏离</w:t>
            </w:r>
          </w:p>
        </w:tc>
        <w:tc>
          <w:tcPr>
            <w:tcW w:w="938" w:type="dxa"/>
            <w:vAlign w:val="center"/>
          </w:tcPr>
          <w:p w14:paraId="126F6291">
            <w:pPr>
              <w:bidi w:val="0"/>
              <w:rPr>
                <w:rFonts w:hint="eastAsia"/>
              </w:rPr>
            </w:pPr>
            <w:r>
              <w:rPr>
                <w:rFonts w:hint="eastAsia"/>
              </w:rPr>
              <w:t>备注</w:t>
            </w:r>
          </w:p>
        </w:tc>
      </w:tr>
      <w:tr w14:paraId="30D7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64C7A01">
            <w:pPr>
              <w:bidi w:val="0"/>
              <w:rPr>
                <w:rFonts w:hint="eastAsia"/>
              </w:rPr>
            </w:pPr>
          </w:p>
        </w:tc>
        <w:tc>
          <w:tcPr>
            <w:tcW w:w="3314" w:type="dxa"/>
            <w:vAlign w:val="center"/>
          </w:tcPr>
          <w:p w14:paraId="487A65D4">
            <w:pPr>
              <w:bidi w:val="0"/>
              <w:rPr>
                <w:rFonts w:hint="eastAsia"/>
              </w:rPr>
            </w:pPr>
          </w:p>
        </w:tc>
        <w:tc>
          <w:tcPr>
            <w:tcW w:w="3019" w:type="dxa"/>
            <w:vAlign w:val="center"/>
          </w:tcPr>
          <w:p w14:paraId="48B815E6">
            <w:pPr>
              <w:bidi w:val="0"/>
              <w:rPr>
                <w:rFonts w:hint="eastAsia"/>
              </w:rPr>
            </w:pPr>
          </w:p>
        </w:tc>
        <w:tc>
          <w:tcPr>
            <w:tcW w:w="928" w:type="dxa"/>
            <w:vAlign w:val="center"/>
          </w:tcPr>
          <w:p w14:paraId="2FCC03EC">
            <w:pPr>
              <w:bidi w:val="0"/>
              <w:rPr>
                <w:rFonts w:hint="eastAsia"/>
              </w:rPr>
            </w:pPr>
          </w:p>
        </w:tc>
        <w:tc>
          <w:tcPr>
            <w:tcW w:w="938" w:type="dxa"/>
            <w:vAlign w:val="center"/>
          </w:tcPr>
          <w:p w14:paraId="3B5643F4">
            <w:pPr>
              <w:bidi w:val="0"/>
              <w:rPr>
                <w:rFonts w:hint="eastAsia"/>
              </w:rPr>
            </w:pPr>
          </w:p>
        </w:tc>
      </w:tr>
      <w:tr w14:paraId="7AE6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54AC8A8">
            <w:pPr>
              <w:bidi w:val="0"/>
              <w:rPr>
                <w:rFonts w:hint="eastAsia"/>
              </w:rPr>
            </w:pPr>
          </w:p>
        </w:tc>
        <w:tc>
          <w:tcPr>
            <w:tcW w:w="3314" w:type="dxa"/>
            <w:vAlign w:val="center"/>
          </w:tcPr>
          <w:p w14:paraId="26DAEAE7">
            <w:pPr>
              <w:bidi w:val="0"/>
              <w:rPr>
                <w:rFonts w:hint="eastAsia"/>
              </w:rPr>
            </w:pPr>
          </w:p>
        </w:tc>
        <w:tc>
          <w:tcPr>
            <w:tcW w:w="3019" w:type="dxa"/>
            <w:vAlign w:val="center"/>
          </w:tcPr>
          <w:p w14:paraId="0F422F36">
            <w:pPr>
              <w:bidi w:val="0"/>
              <w:rPr>
                <w:rFonts w:hint="eastAsia"/>
              </w:rPr>
            </w:pPr>
          </w:p>
        </w:tc>
        <w:tc>
          <w:tcPr>
            <w:tcW w:w="928" w:type="dxa"/>
            <w:vAlign w:val="center"/>
          </w:tcPr>
          <w:p w14:paraId="0E3B5FD6">
            <w:pPr>
              <w:bidi w:val="0"/>
              <w:rPr>
                <w:rFonts w:hint="eastAsia"/>
              </w:rPr>
            </w:pPr>
          </w:p>
        </w:tc>
        <w:tc>
          <w:tcPr>
            <w:tcW w:w="938" w:type="dxa"/>
            <w:vAlign w:val="center"/>
          </w:tcPr>
          <w:p w14:paraId="1DA0A943">
            <w:pPr>
              <w:bidi w:val="0"/>
              <w:rPr>
                <w:rFonts w:hint="eastAsia"/>
              </w:rPr>
            </w:pPr>
          </w:p>
        </w:tc>
      </w:tr>
      <w:tr w14:paraId="157E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873CBF2">
            <w:pPr>
              <w:bidi w:val="0"/>
              <w:rPr>
                <w:rFonts w:hint="eastAsia"/>
              </w:rPr>
            </w:pPr>
          </w:p>
        </w:tc>
        <w:tc>
          <w:tcPr>
            <w:tcW w:w="3314" w:type="dxa"/>
            <w:vAlign w:val="center"/>
          </w:tcPr>
          <w:p w14:paraId="5C60B799">
            <w:pPr>
              <w:bidi w:val="0"/>
              <w:rPr>
                <w:rFonts w:hint="eastAsia"/>
              </w:rPr>
            </w:pPr>
          </w:p>
        </w:tc>
        <w:tc>
          <w:tcPr>
            <w:tcW w:w="3019" w:type="dxa"/>
            <w:vAlign w:val="center"/>
          </w:tcPr>
          <w:p w14:paraId="1B21BEF2">
            <w:pPr>
              <w:bidi w:val="0"/>
              <w:rPr>
                <w:rFonts w:hint="eastAsia"/>
              </w:rPr>
            </w:pPr>
          </w:p>
        </w:tc>
        <w:tc>
          <w:tcPr>
            <w:tcW w:w="928" w:type="dxa"/>
            <w:vAlign w:val="center"/>
          </w:tcPr>
          <w:p w14:paraId="625CB935">
            <w:pPr>
              <w:bidi w:val="0"/>
              <w:rPr>
                <w:rFonts w:hint="eastAsia"/>
              </w:rPr>
            </w:pPr>
          </w:p>
        </w:tc>
        <w:tc>
          <w:tcPr>
            <w:tcW w:w="938" w:type="dxa"/>
            <w:vAlign w:val="center"/>
          </w:tcPr>
          <w:p w14:paraId="51EACD78">
            <w:pPr>
              <w:bidi w:val="0"/>
              <w:rPr>
                <w:rFonts w:hint="eastAsia"/>
              </w:rPr>
            </w:pPr>
          </w:p>
        </w:tc>
      </w:tr>
      <w:tr w14:paraId="1182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D1D1C3">
            <w:pPr>
              <w:bidi w:val="0"/>
              <w:rPr>
                <w:rFonts w:hint="eastAsia"/>
              </w:rPr>
            </w:pPr>
          </w:p>
        </w:tc>
        <w:tc>
          <w:tcPr>
            <w:tcW w:w="3314" w:type="dxa"/>
            <w:vAlign w:val="center"/>
          </w:tcPr>
          <w:p w14:paraId="3C82F3D8">
            <w:pPr>
              <w:bidi w:val="0"/>
              <w:rPr>
                <w:rFonts w:hint="eastAsia"/>
              </w:rPr>
            </w:pPr>
          </w:p>
        </w:tc>
        <w:tc>
          <w:tcPr>
            <w:tcW w:w="3019" w:type="dxa"/>
            <w:vAlign w:val="center"/>
          </w:tcPr>
          <w:p w14:paraId="08341F7A">
            <w:pPr>
              <w:bidi w:val="0"/>
              <w:rPr>
                <w:rFonts w:hint="eastAsia"/>
              </w:rPr>
            </w:pPr>
          </w:p>
        </w:tc>
        <w:tc>
          <w:tcPr>
            <w:tcW w:w="928" w:type="dxa"/>
            <w:vAlign w:val="center"/>
          </w:tcPr>
          <w:p w14:paraId="57090BBA">
            <w:pPr>
              <w:bidi w:val="0"/>
              <w:rPr>
                <w:rFonts w:hint="eastAsia"/>
              </w:rPr>
            </w:pPr>
          </w:p>
        </w:tc>
        <w:tc>
          <w:tcPr>
            <w:tcW w:w="938" w:type="dxa"/>
            <w:vAlign w:val="center"/>
          </w:tcPr>
          <w:p w14:paraId="6D087068">
            <w:pPr>
              <w:bidi w:val="0"/>
              <w:rPr>
                <w:rFonts w:hint="eastAsia"/>
              </w:rPr>
            </w:pPr>
          </w:p>
        </w:tc>
      </w:tr>
      <w:tr w14:paraId="064A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FBEBEF4">
            <w:pPr>
              <w:bidi w:val="0"/>
              <w:rPr>
                <w:rFonts w:hint="eastAsia"/>
              </w:rPr>
            </w:pPr>
          </w:p>
        </w:tc>
        <w:tc>
          <w:tcPr>
            <w:tcW w:w="3314" w:type="dxa"/>
            <w:vAlign w:val="center"/>
          </w:tcPr>
          <w:p w14:paraId="199FFD7C">
            <w:pPr>
              <w:bidi w:val="0"/>
              <w:rPr>
                <w:rFonts w:hint="eastAsia"/>
              </w:rPr>
            </w:pPr>
          </w:p>
        </w:tc>
        <w:tc>
          <w:tcPr>
            <w:tcW w:w="3019" w:type="dxa"/>
            <w:vAlign w:val="center"/>
          </w:tcPr>
          <w:p w14:paraId="113A80E5">
            <w:pPr>
              <w:bidi w:val="0"/>
              <w:rPr>
                <w:rFonts w:hint="eastAsia"/>
              </w:rPr>
            </w:pPr>
          </w:p>
        </w:tc>
        <w:tc>
          <w:tcPr>
            <w:tcW w:w="928" w:type="dxa"/>
            <w:vAlign w:val="center"/>
          </w:tcPr>
          <w:p w14:paraId="326FBD9F">
            <w:pPr>
              <w:bidi w:val="0"/>
              <w:rPr>
                <w:rFonts w:hint="eastAsia"/>
              </w:rPr>
            </w:pPr>
          </w:p>
        </w:tc>
        <w:tc>
          <w:tcPr>
            <w:tcW w:w="938" w:type="dxa"/>
            <w:vAlign w:val="center"/>
          </w:tcPr>
          <w:p w14:paraId="6A672690">
            <w:pPr>
              <w:bidi w:val="0"/>
              <w:rPr>
                <w:rFonts w:hint="eastAsia"/>
              </w:rPr>
            </w:pPr>
          </w:p>
        </w:tc>
      </w:tr>
      <w:tr w14:paraId="154B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7294FE32">
            <w:pPr>
              <w:bidi w:val="0"/>
              <w:rPr>
                <w:rFonts w:hint="eastAsia"/>
              </w:rPr>
            </w:pPr>
          </w:p>
        </w:tc>
        <w:tc>
          <w:tcPr>
            <w:tcW w:w="3314" w:type="dxa"/>
            <w:vAlign w:val="center"/>
          </w:tcPr>
          <w:p w14:paraId="524DD154">
            <w:pPr>
              <w:bidi w:val="0"/>
              <w:rPr>
                <w:rFonts w:hint="eastAsia"/>
              </w:rPr>
            </w:pPr>
          </w:p>
        </w:tc>
        <w:tc>
          <w:tcPr>
            <w:tcW w:w="3019" w:type="dxa"/>
            <w:vAlign w:val="center"/>
          </w:tcPr>
          <w:p w14:paraId="44F10B62">
            <w:pPr>
              <w:bidi w:val="0"/>
              <w:rPr>
                <w:rFonts w:hint="eastAsia"/>
              </w:rPr>
            </w:pPr>
          </w:p>
        </w:tc>
        <w:tc>
          <w:tcPr>
            <w:tcW w:w="928" w:type="dxa"/>
            <w:vAlign w:val="center"/>
          </w:tcPr>
          <w:p w14:paraId="591E2969">
            <w:pPr>
              <w:bidi w:val="0"/>
              <w:rPr>
                <w:rFonts w:hint="eastAsia"/>
              </w:rPr>
            </w:pPr>
          </w:p>
        </w:tc>
        <w:tc>
          <w:tcPr>
            <w:tcW w:w="938" w:type="dxa"/>
            <w:vAlign w:val="center"/>
          </w:tcPr>
          <w:p w14:paraId="453A8EC1">
            <w:pPr>
              <w:bidi w:val="0"/>
              <w:rPr>
                <w:rFonts w:hint="eastAsia"/>
              </w:rPr>
            </w:pPr>
          </w:p>
        </w:tc>
      </w:tr>
      <w:tr w14:paraId="0B84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07090C5">
            <w:pPr>
              <w:bidi w:val="0"/>
              <w:rPr>
                <w:rFonts w:hint="eastAsia"/>
              </w:rPr>
            </w:pPr>
          </w:p>
        </w:tc>
        <w:tc>
          <w:tcPr>
            <w:tcW w:w="3314" w:type="dxa"/>
            <w:vAlign w:val="center"/>
          </w:tcPr>
          <w:p w14:paraId="5DDD16D1">
            <w:pPr>
              <w:bidi w:val="0"/>
              <w:rPr>
                <w:rFonts w:hint="eastAsia"/>
              </w:rPr>
            </w:pPr>
          </w:p>
        </w:tc>
        <w:tc>
          <w:tcPr>
            <w:tcW w:w="3019" w:type="dxa"/>
            <w:vAlign w:val="center"/>
          </w:tcPr>
          <w:p w14:paraId="3ECED159">
            <w:pPr>
              <w:bidi w:val="0"/>
              <w:rPr>
                <w:rFonts w:hint="eastAsia"/>
              </w:rPr>
            </w:pPr>
          </w:p>
        </w:tc>
        <w:tc>
          <w:tcPr>
            <w:tcW w:w="928" w:type="dxa"/>
            <w:vAlign w:val="center"/>
          </w:tcPr>
          <w:p w14:paraId="783D1AFB">
            <w:pPr>
              <w:bidi w:val="0"/>
              <w:rPr>
                <w:rFonts w:hint="eastAsia"/>
              </w:rPr>
            </w:pPr>
          </w:p>
        </w:tc>
        <w:tc>
          <w:tcPr>
            <w:tcW w:w="938" w:type="dxa"/>
            <w:vAlign w:val="center"/>
          </w:tcPr>
          <w:p w14:paraId="15A050EC">
            <w:pPr>
              <w:bidi w:val="0"/>
              <w:rPr>
                <w:rFonts w:hint="eastAsia"/>
              </w:rPr>
            </w:pPr>
          </w:p>
        </w:tc>
      </w:tr>
      <w:tr w14:paraId="139D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596229">
            <w:pPr>
              <w:bidi w:val="0"/>
              <w:rPr>
                <w:rFonts w:hint="eastAsia"/>
              </w:rPr>
            </w:pPr>
          </w:p>
        </w:tc>
        <w:tc>
          <w:tcPr>
            <w:tcW w:w="3314" w:type="dxa"/>
            <w:vAlign w:val="center"/>
          </w:tcPr>
          <w:p w14:paraId="16AE06F2">
            <w:pPr>
              <w:bidi w:val="0"/>
              <w:rPr>
                <w:rFonts w:hint="eastAsia"/>
              </w:rPr>
            </w:pPr>
          </w:p>
        </w:tc>
        <w:tc>
          <w:tcPr>
            <w:tcW w:w="3019" w:type="dxa"/>
            <w:vAlign w:val="center"/>
          </w:tcPr>
          <w:p w14:paraId="471D267A">
            <w:pPr>
              <w:bidi w:val="0"/>
              <w:rPr>
                <w:rFonts w:hint="eastAsia"/>
              </w:rPr>
            </w:pPr>
          </w:p>
        </w:tc>
        <w:tc>
          <w:tcPr>
            <w:tcW w:w="928" w:type="dxa"/>
            <w:vAlign w:val="center"/>
          </w:tcPr>
          <w:p w14:paraId="4C73BF5C">
            <w:pPr>
              <w:bidi w:val="0"/>
              <w:rPr>
                <w:rFonts w:hint="eastAsia"/>
              </w:rPr>
            </w:pPr>
          </w:p>
        </w:tc>
        <w:tc>
          <w:tcPr>
            <w:tcW w:w="938" w:type="dxa"/>
            <w:vAlign w:val="center"/>
          </w:tcPr>
          <w:p w14:paraId="32DBC3F2">
            <w:pPr>
              <w:bidi w:val="0"/>
              <w:rPr>
                <w:rFonts w:hint="eastAsia"/>
              </w:rPr>
            </w:pPr>
          </w:p>
        </w:tc>
      </w:tr>
      <w:tr w14:paraId="5D0C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192B1CE5">
            <w:pPr>
              <w:bidi w:val="0"/>
              <w:rPr>
                <w:rFonts w:hint="eastAsia"/>
              </w:rPr>
            </w:pPr>
          </w:p>
        </w:tc>
        <w:tc>
          <w:tcPr>
            <w:tcW w:w="3314" w:type="dxa"/>
            <w:vAlign w:val="center"/>
          </w:tcPr>
          <w:p w14:paraId="07EE7E92">
            <w:pPr>
              <w:bidi w:val="0"/>
              <w:rPr>
                <w:rFonts w:hint="eastAsia"/>
              </w:rPr>
            </w:pPr>
          </w:p>
        </w:tc>
        <w:tc>
          <w:tcPr>
            <w:tcW w:w="3019" w:type="dxa"/>
            <w:vAlign w:val="center"/>
          </w:tcPr>
          <w:p w14:paraId="677ACA3D">
            <w:pPr>
              <w:bidi w:val="0"/>
              <w:rPr>
                <w:rFonts w:hint="eastAsia"/>
              </w:rPr>
            </w:pPr>
          </w:p>
        </w:tc>
        <w:tc>
          <w:tcPr>
            <w:tcW w:w="928" w:type="dxa"/>
            <w:vAlign w:val="center"/>
          </w:tcPr>
          <w:p w14:paraId="017B252E">
            <w:pPr>
              <w:bidi w:val="0"/>
              <w:rPr>
                <w:rFonts w:hint="eastAsia"/>
              </w:rPr>
            </w:pPr>
          </w:p>
        </w:tc>
        <w:tc>
          <w:tcPr>
            <w:tcW w:w="938" w:type="dxa"/>
            <w:vAlign w:val="center"/>
          </w:tcPr>
          <w:p w14:paraId="1BC96FB7">
            <w:pPr>
              <w:bidi w:val="0"/>
              <w:rPr>
                <w:rFonts w:hint="eastAsia"/>
              </w:rPr>
            </w:pPr>
          </w:p>
        </w:tc>
      </w:tr>
    </w:tbl>
    <w:p w14:paraId="2FA43A60">
      <w:pPr>
        <w:numPr>
          <w:ilvl w:val="0"/>
          <w:numId w:val="0"/>
        </w:numPr>
        <w:bidi w:val="0"/>
        <w:ind w:left="420" w:leftChars="0"/>
        <w:rPr>
          <w:rFonts w:hint="eastAsia" w:ascii="宋体" w:hAnsi="宋体" w:eastAsia="宋体" w:cs="宋体"/>
          <w:sz w:val="28"/>
          <w:szCs w:val="28"/>
        </w:rPr>
      </w:pPr>
    </w:p>
    <w:p w14:paraId="39A8FB9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7B00EDE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5CD3491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54307620">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eastAsia="zh-CN"/>
        </w:rPr>
        <w:t>比选</w:t>
      </w:r>
      <w:r>
        <w:rPr>
          <w:rFonts w:hint="eastAsia" w:ascii="宋体" w:hAnsi="宋体" w:eastAsia="宋体" w:cs="宋体"/>
          <w:sz w:val="24"/>
          <w:szCs w:val="24"/>
        </w:rPr>
        <w:t>文件中采购需求的“技术和服务要求”的内容保持一致。</w:t>
      </w:r>
    </w:p>
    <w:p w14:paraId="0A05CC65">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sz w:val="24"/>
          <w:szCs w:val="24"/>
          <w:lang w:eastAsia="zh-CN"/>
        </w:rPr>
        <w:t>比选</w:t>
      </w:r>
      <w:r>
        <w:rPr>
          <w:rFonts w:hint="eastAsia" w:ascii="宋体" w:hAnsi="宋体" w:eastAsia="宋体" w:cs="宋体"/>
          <w:sz w:val="24"/>
          <w:szCs w:val="24"/>
        </w:rPr>
        <w:t>文件要求。投标人需要说明的内容若需特殊表达，应先在本表中进行相应说明，再另页应答，否则投标无效。</w:t>
      </w:r>
    </w:p>
    <w:p w14:paraId="10A30458">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14:paraId="7744321D">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14:paraId="0F0A2D6C">
      <w:pPr>
        <w:pStyle w:val="4"/>
        <w:numPr>
          <w:ilvl w:val="0"/>
          <w:numId w:val="14"/>
        </w:numPr>
        <w:bidi w:val="0"/>
        <w:ind w:left="0" w:leftChars="0" w:firstLine="420" w:firstLineChars="0"/>
        <w:rPr>
          <w:rFonts w:hint="eastAsia"/>
          <w:lang w:val="en-US" w:eastAsia="zh-CN"/>
        </w:rPr>
      </w:pPr>
      <w:bookmarkStart w:id="55" w:name="_Toc22814"/>
      <w:r>
        <w:rPr>
          <w:rFonts w:hint="eastAsia"/>
          <w:lang w:val="en-US" w:eastAsia="zh-CN"/>
        </w:rPr>
        <w:t>商务响应偏离表</w:t>
      </w:r>
      <w:bookmarkEnd w:id="55"/>
    </w:p>
    <w:p w14:paraId="1FAF96B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51BB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372AAF98">
            <w:pPr>
              <w:bidi w:val="0"/>
              <w:rPr>
                <w:rFonts w:hint="eastAsia"/>
              </w:rPr>
            </w:pPr>
            <w:r>
              <w:rPr>
                <w:rFonts w:hint="eastAsia"/>
              </w:rPr>
              <w:t>序号</w:t>
            </w:r>
          </w:p>
        </w:tc>
        <w:tc>
          <w:tcPr>
            <w:tcW w:w="2704" w:type="dxa"/>
            <w:vAlign w:val="center"/>
          </w:tcPr>
          <w:p w14:paraId="36D6879F">
            <w:pPr>
              <w:bidi w:val="0"/>
              <w:rPr>
                <w:rFonts w:hint="eastAsia"/>
              </w:rPr>
            </w:pPr>
            <w:r>
              <w:rPr>
                <w:rFonts w:hint="eastAsia"/>
              </w:rPr>
              <w:t>采购文件规定的商务条件</w:t>
            </w:r>
          </w:p>
        </w:tc>
        <w:tc>
          <w:tcPr>
            <w:tcW w:w="2929" w:type="dxa"/>
            <w:vAlign w:val="center"/>
          </w:tcPr>
          <w:p w14:paraId="6AFDF031">
            <w:pPr>
              <w:bidi w:val="0"/>
              <w:rPr>
                <w:rFonts w:hint="eastAsia"/>
              </w:rPr>
            </w:pPr>
            <w:r>
              <w:rPr>
                <w:rFonts w:hint="eastAsia"/>
              </w:rPr>
              <w:t>投标文件响应的具体内容</w:t>
            </w:r>
          </w:p>
        </w:tc>
        <w:tc>
          <w:tcPr>
            <w:tcW w:w="1436" w:type="dxa"/>
            <w:vAlign w:val="center"/>
          </w:tcPr>
          <w:p w14:paraId="11C1F55C">
            <w:pPr>
              <w:bidi w:val="0"/>
              <w:rPr>
                <w:rFonts w:hint="eastAsia"/>
              </w:rPr>
            </w:pPr>
            <w:r>
              <w:rPr>
                <w:rFonts w:hint="eastAsia"/>
              </w:rPr>
              <w:t>是否偏离</w:t>
            </w:r>
          </w:p>
        </w:tc>
        <w:tc>
          <w:tcPr>
            <w:tcW w:w="1436" w:type="dxa"/>
            <w:vAlign w:val="center"/>
          </w:tcPr>
          <w:p w14:paraId="274D602E">
            <w:pPr>
              <w:bidi w:val="0"/>
              <w:rPr>
                <w:rFonts w:hint="eastAsia"/>
              </w:rPr>
            </w:pPr>
            <w:r>
              <w:rPr>
                <w:rFonts w:hint="eastAsia"/>
              </w:rPr>
              <w:t>备注</w:t>
            </w:r>
          </w:p>
        </w:tc>
      </w:tr>
      <w:tr w14:paraId="60A4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D01CDD3">
            <w:pPr>
              <w:bidi w:val="0"/>
              <w:rPr>
                <w:rFonts w:hint="eastAsia"/>
              </w:rPr>
            </w:pPr>
          </w:p>
        </w:tc>
        <w:tc>
          <w:tcPr>
            <w:tcW w:w="2704" w:type="dxa"/>
            <w:vAlign w:val="center"/>
          </w:tcPr>
          <w:p w14:paraId="731C1B4E">
            <w:pPr>
              <w:bidi w:val="0"/>
              <w:rPr>
                <w:rFonts w:hint="eastAsia"/>
              </w:rPr>
            </w:pPr>
          </w:p>
        </w:tc>
        <w:tc>
          <w:tcPr>
            <w:tcW w:w="2929" w:type="dxa"/>
            <w:vAlign w:val="center"/>
          </w:tcPr>
          <w:p w14:paraId="336E9502">
            <w:pPr>
              <w:bidi w:val="0"/>
              <w:rPr>
                <w:rFonts w:hint="eastAsia"/>
              </w:rPr>
            </w:pPr>
          </w:p>
        </w:tc>
        <w:tc>
          <w:tcPr>
            <w:tcW w:w="1436" w:type="dxa"/>
            <w:vAlign w:val="center"/>
          </w:tcPr>
          <w:p w14:paraId="198C2655">
            <w:pPr>
              <w:bidi w:val="0"/>
              <w:rPr>
                <w:rFonts w:hint="eastAsia"/>
              </w:rPr>
            </w:pPr>
          </w:p>
        </w:tc>
        <w:tc>
          <w:tcPr>
            <w:tcW w:w="1436" w:type="dxa"/>
            <w:vAlign w:val="center"/>
          </w:tcPr>
          <w:p w14:paraId="4BD60147">
            <w:pPr>
              <w:bidi w:val="0"/>
              <w:rPr>
                <w:rFonts w:hint="eastAsia"/>
              </w:rPr>
            </w:pPr>
          </w:p>
        </w:tc>
      </w:tr>
      <w:tr w14:paraId="0884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773EA81">
            <w:pPr>
              <w:bidi w:val="0"/>
              <w:rPr>
                <w:rFonts w:hint="eastAsia"/>
              </w:rPr>
            </w:pPr>
          </w:p>
        </w:tc>
        <w:tc>
          <w:tcPr>
            <w:tcW w:w="2704" w:type="dxa"/>
            <w:vAlign w:val="center"/>
          </w:tcPr>
          <w:p w14:paraId="64F02294">
            <w:pPr>
              <w:bidi w:val="0"/>
              <w:rPr>
                <w:rFonts w:hint="eastAsia"/>
              </w:rPr>
            </w:pPr>
          </w:p>
        </w:tc>
        <w:tc>
          <w:tcPr>
            <w:tcW w:w="2929" w:type="dxa"/>
            <w:vAlign w:val="center"/>
          </w:tcPr>
          <w:p w14:paraId="2A47A17B">
            <w:pPr>
              <w:bidi w:val="0"/>
              <w:rPr>
                <w:rFonts w:hint="eastAsia"/>
              </w:rPr>
            </w:pPr>
          </w:p>
        </w:tc>
        <w:tc>
          <w:tcPr>
            <w:tcW w:w="1436" w:type="dxa"/>
            <w:vAlign w:val="center"/>
          </w:tcPr>
          <w:p w14:paraId="3AC7121B">
            <w:pPr>
              <w:bidi w:val="0"/>
              <w:rPr>
                <w:rFonts w:hint="eastAsia"/>
              </w:rPr>
            </w:pPr>
          </w:p>
        </w:tc>
        <w:tc>
          <w:tcPr>
            <w:tcW w:w="1436" w:type="dxa"/>
            <w:vAlign w:val="center"/>
          </w:tcPr>
          <w:p w14:paraId="3B963401">
            <w:pPr>
              <w:bidi w:val="0"/>
              <w:rPr>
                <w:rFonts w:hint="eastAsia"/>
              </w:rPr>
            </w:pPr>
          </w:p>
        </w:tc>
      </w:tr>
      <w:tr w14:paraId="5A4F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5A584EFD">
            <w:pPr>
              <w:bidi w:val="0"/>
              <w:rPr>
                <w:rFonts w:hint="eastAsia"/>
              </w:rPr>
            </w:pPr>
          </w:p>
        </w:tc>
        <w:tc>
          <w:tcPr>
            <w:tcW w:w="2704" w:type="dxa"/>
            <w:vAlign w:val="center"/>
          </w:tcPr>
          <w:p w14:paraId="7A821C00">
            <w:pPr>
              <w:bidi w:val="0"/>
              <w:rPr>
                <w:rFonts w:hint="eastAsia"/>
              </w:rPr>
            </w:pPr>
          </w:p>
        </w:tc>
        <w:tc>
          <w:tcPr>
            <w:tcW w:w="2929" w:type="dxa"/>
            <w:vAlign w:val="center"/>
          </w:tcPr>
          <w:p w14:paraId="50364197">
            <w:pPr>
              <w:bidi w:val="0"/>
              <w:rPr>
                <w:rFonts w:hint="eastAsia"/>
              </w:rPr>
            </w:pPr>
          </w:p>
        </w:tc>
        <w:tc>
          <w:tcPr>
            <w:tcW w:w="1436" w:type="dxa"/>
            <w:vAlign w:val="center"/>
          </w:tcPr>
          <w:p w14:paraId="1E47048D">
            <w:pPr>
              <w:bidi w:val="0"/>
              <w:rPr>
                <w:rFonts w:hint="eastAsia"/>
              </w:rPr>
            </w:pPr>
          </w:p>
        </w:tc>
        <w:tc>
          <w:tcPr>
            <w:tcW w:w="1436" w:type="dxa"/>
            <w:vAlign w:val="center"/>
          </w:tcPr>
          <w:p w14:paraId="7BB3850D">
            <w:pPr>
              <w:bidi w:val="0"/>
              <w:rPr>
                <w:rFonts w:hint="eastAsia"/>
              </w:rPr>
            </w:pPr>
          </w:p>
        </w:tc>
      </w:tr>
      <w:tr w14:paraId="0C3A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2D00E48E">
            <w:pPr>
              <w:bidi w:val="0"/>
              <w:rPr>
                <w:rFonts w:hint="eastAsia"/>
              </w:rPr>
            </w:pPr>
          </w:p>
        </w:tc>
        <w:tc>
          <w:tcPr>
            <w:tcW w:w="2704" w:type="dxa"/>
            <w:vAlign w:val="center"/>
          </w:tcPr>
          <w:p w14:paraId="4310C953">
            <w:pPr>
              <w:bidi w:val="0"/>
              <w:rPr>
                <w:rFonts w:hint="eastAsia"/>
              </w:rPr>
            </w:pPr>
          </w:p>
        </w:tc>
        <w:tc>
          <w:tcPr>
            <w:tcW w:w="2929" w:type="dxa"/>
            <w:vAlign w:val="center"/>
          </w:tcPr>
          <w:p w14:paraId="196535E5">
            <w:pPr>
              <w:bidi w:val="0"/>
              <w:rPr>
                <w:rFonts w:hint="eastAsia"/>
              </w:rPr>
            </w:pPr>
          </w:p>
        </w:tc>
        <w:tc>
          <w:tcPr>
            <w:tcW w:w="1436" w:type="dxa"/>
            <w:vAlign w:val="center"/>
          </w:tcPr>
          <w:p w14:paraId="35CC39DF">
            <w:pPr>
              <w:bidi w:val="0"/>
              <w:rPr>
                <w:rFonts w:hint="eastAsia"/>
              </w:rPr>
            </w:pPr>
          </w:p>
        </w:tc>
        <w:tc>
          <w:tcPr>
            <w:tcW w:w="1436" w:type="dxa"/>
            <w:vAlign w:val="center"/>
          </w:tcPr>
          <w:p w14:paraId="5CDF49BD">
            <w:pPr>
              <w:bidi w:val="0"/>
              <w:rPr>
                <w:rFonts w:hint="eastAsia"/>
              </w:rPr>
            </w:pPr>
          </w:p>
        </w:tc>
      </w:tr>
      <w:tr w14:paraId="6565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1ABD9B3F">
            <w:pPr>
              <w:bidi w:val="0"/>
              <w:rPr>
                <w:rFonts w:hint="eastAsia"/>
              </w:rPr>
            </w:pPr>
          </w:p>
        </w:tc>
        <w:tc>
          <w:tcPr>
            <w:tcW w:w="2704" w:type="dxa"/>
            <w:vAlign w:val="center"/>
          </w:tcPr>
          <w:p w14:paraId="5A6B5B75">
            <w:pPr>
              <w:bidi w:val="0"/>
              <w:rPr>
                <w:rFonts w:hint="eastAsia"/>
              </w:rPr>
            </w:pPr>
          </w:p>
        </w:tc>
        <w:tc>
          <w:tcPr>
            <w:tcW w:w="2929" w:type="dxa"/>
            <w:vAlign w:val="center"/>
          </w:tcPr>
          <w:p w14:paraId="0C69A4C0">
            <w:pPr>
              <w:bidi w:val="0"/>
              <w:rPr>
                <w:rFonts w:hint="eastAsia"/>
              </w:rPr>
            </w:pPr>
          </w:p>
        </w:tc>
        <w:tc>
          <w:tcPr>
            <w:tcW w:w="1436" w:type="dxa"/>
            <w:vAlign w:val="center"/>
          </w:tcPr>
          <w:p w14:paraId="0B410A78">
            <w:pPr>
              <w:bidi w:val="0"/>
              <w:rPr>
                <w:rFonts w:hint="eastAsia"/>
              </w:rPr>
            </w:pPr>
          </w:p>
        </w:tc>
        <w:tc>
          <w:tcPr>
            <w:tcW w:w="1436" w:type="dxa"/>
            <w:vAlign w:val="center"/>
          </w:tcPr>
          <w:p w14:paraId="32DFD166">
            <w:pPr>
              <w:bidi w:val="0"/>
              <w:rPr>
                <w:rFonts w:hint="eastAsia"/>
              </w:rPr>
            </w:pPr>
          </w:p>
        </w:tc>
      </w:tr>
      <w:tr w14:paraId="4B6F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51CC77D4">
            <w:pPr>
              <w:bidi w:val="0"/>
              <w:rPr>
                <w:rFonts w:hint="eastAsia"/>
              </w:rPr>
            </w:pPr>
          </w:p>
        </w:tc>
        <w:tc>
          <w:tcPr>
            <w:tcW w:w="2704" w:type="dxa"/>
            <w:vAlign w:val="center"/>
          </w:tcPr>
          <w:p w14:paraId="15B46AA1">
            <w:pPr>
              <w:bidi w:val="0"/>
              <w:rPr>
                <w:rFonts w:hint="eastAsia"/>
              </w:rPr>
            </w:pPr>
          </w:p>
        </w:tc>
        <w:tc>
          <w:tcPr>
            <w:tcW w:w="2929" w:type="dxa"/>
            <w:vAlign w:val="center"/>
          </w:tcPr>
          <w:p w14:paraId="4BE48213">
            <w:pPr>
              <w:bidi w:val="0"/>
              <w:rPr>
                <w:rFonts w:hint="eastAsia"/>
              </w:rPr>
            </w:pPr>
          </w:p>
        </w:tc>
        <w:tc>
          <w:tcPr>
            <w:tcW w:w="1436" w:type="dxa"/>
            <w:vAlign w:val="center"/>
          </w:tcPr>
          <w:p w14:paraId="14159C21">
            <w:pPr>
              <w:bidi w:val="0"/>
              <w:rPr>
                <w:rFonts w:hint="eastAsia"/>
              </w:rPr>
            </w:pPr>
          </w:p>
        </w:tc>
        <w:tc>
          <w:tcPr>
            <w:tcW w:w="1436" w:type="dxa"/>
            <w:vAlign w:val="center"/>
          </w:tcPr>
          <w:p w14:paraId="11AC8DB8">
            <w:pPr>
              <w:bidi w:val="0"/>
              <w:rPr>
                <w:rFonts w:hint="eastAsia"/>
              </w:rPr>
            </w:pPr>
          </w:p>
        </w:tc>
      </w:tr>
    </w:tbl>
    <w:p w14:paraId="7F9E42FF">
      <w:pPr>
        <w:numPr>
          <w:ilvl w:val="0"/>
          <w:numId w:val="0"/>
        </w:numPr>
        <w:bidi w:val="0"/>
        <w:ind w:left="420" w:leftChars="0"/>
        <w:rPr>
          <w:rFonts w:hint="eastAsia" w:ascii="宋体" w:hAnsi="宋体" w:eastAsia="宋体" w:cs="宋体"/>
          <w:sz w:val="28"/>
          <w:szCs w:val="28"/>
        </w:rPr>
      </w:pPr>
    </w:p>
    <w:p w14:paraId="7A9980A2">
      <w:pPr>
        <w:numPr>
          <w:ilvl w:val="0"/>
          <w:numId w:val="0"/>
        </w:numPr>
        <w:bidi w:val="0"/>
        <w:ind w:left="420" w:leftChars="0"/>
        <w:rPr>
          <w:rFonts w:hint="eastAsia" w:ascii="宋体" w:hAnsi="宋体" w:eastAsia="宋体" w:cs="宋体"/>
          <w:sz w:val="28"/>
          <w:szCs w:val="28"/>
        </w:rPr>
      </w:pPr>
    </w:p>
    <w:p w14:paraId="4CBA98B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47CE3C9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5C093F6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018C8C2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214E4216">
      <w:pPr>
        <w:bidi w:val="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cs="宋体"/>
          <w:lang w:eastAsia="zh-CN"/>
        </w:rPr>
        <w:t>比选</w:t>
      </w:r>
      <w:r>
        <w:rPr>
          <w:rFonts w:hint="eastAsia" w:ascii="宋体" w:hAnsi="宋体" w:eastAsia="宋体" w:cs="宋体"/>
        </w:rPr>
        <w:t>文件中采购需求的 “商务要求”的内容保持一致。</w:t>
      </w:r>
    </w:p>
    <w:p w14:paraId="731EFBBF">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w:t>
      </w:r>
      <w:r>
        <w:rPr>
          <w:rFonts w:hint="eastAsia" w:ascii="宋体" w:hAnsi="宋体" w:cs="宋体"/>
          <w:lang w:eastAsia="zh-CN"/>
        </w:rPr>
        <w:t>比选</w:t>
      </w:r>
      <w:r>
        <w:rPr>
          <w:rFonts w:hint="eastAsia" w:ascii="宋体" w:hAnsi="宋体" w:eastAsia="宋体" w:cs="宋体"/>
        </w:rPr>
        <w:t>文件要求。投标人需要说明的内容若需特殊表达，应先在本表中进行相应说明，再另页应答，否则投标无效。</w:t>
      </w:r>
    </w:p>
    <w:p w14:paraId="5292C71E">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14:paraId="2F696FF6">
      <w:pPr>
        <w:bidi w:val="0"/>
        <w:rPr>
          <w:rFonts w:hint="eastAsia" w:ascii="宋体" w:hAnsi="宋体" w:eastAsia="宋体" w:cs="宋体"/>
        </w:rPr>
      </w:pPr>
      <w:bookmarkStart w:id="56" w:name="_Toc30556"/>
      <w:r>
        <w:rPr>
          <w:rFonts w:hint="eastAsia" w:ascii="宋体" w:hAnsi="宋体" w:eastAsia="宋体" w:cs="宋体"/>
        </w:rPr>
        <w:t>4. “备注”处可填写偏离情况的说明。</w:t>
      </w:r>
      <w:bookmarkEnd w:id="56"/>
    </w:p>
    <w:p w14:paraId="721994CF">
      <w:pPr>
        <w:pStyle w:val="4"/>
        <w:numPr>
          <w:ilvl w:val="0"/>
          <w:numId w:val="14"/>
        </w:numPr>
        <w:bidi w:val="0"/>
        <w:ind w:left="0" w:leftChars="0" w:firstLine="420" w:firstLineChars="0"/>
        <w:rPr>
          <w:rFonts w:hint="eastAsia"/>
          <w:lang w:val="en-US" w:eastAsia="zh-CN"/>
        </w:rPr>
      </w:pPr>
      <w:r>
        <w:rPr>
          <w:rFonts w:hint="eastAsia"/>
          <w:lang w:val="en-US" w:eastAsia="zh-CN"/>
        </w:rPr>
        <w:t>实施服务方案</w:t>
      </w:r>
    </w:p>
    <w:p w14:paraId="5E3958C1">
      <w:pPr>
        <w:pStyle w:val="4"/>
        <w:numPr>
          <w:ilvl w:val="0"/>
          <w:numId w:val="14"/>
        </w:numPr>
        <w:bidi w:val="0"/>
        <w:ind w:left="0" w:leftChars="0" w:firstLine="420" w:firstLineChars="0"/>
        <w:rPr>
          <w:rFonts w:hint="eastAsia"/>
          <w:lang w:val="en-US" w:eastAsia="zh-CN"/>
        </w:rPr>
      </w:pPr>
      <w:r>
        <w:rPr>
          <w:rFonts w:hint="eastAsia"/>
          <w:lang w:val="en-US" w:eastAsia="zh-CN"/>
        </w:rPr>
        <w:t>技术服务评价其它证明材料</w:t>
      </w:r>
    </w:p>
    <w:p w14:paraId="19035572">
      <w:pPr>
        <w:pStyle w:val="4"/>
        <w:numPr>
          <w:ilvl w:val="0"/>
          <w:numId w:val="14"/>
        </w:numPr>
        <w:bidi w:val="0"/>
        <w:ind w:left="0" w:leftChars="0" w:firstLine="420" w:firstLineChars="0"/>
        <w:rPr>
          <w:rFonts w:hint="default"/>
          <w:lang w:val="en-US" w:eastAsia="zh-CN"/>
        </w:rPr>
      </w:pPr>
      <w:r>
        <w:rPr>
          <w:rFonts w:hint="eastAsia"/>
          <w:lang w:val="en-US" w:eastAsia="zh-CN"/>
        </w:rPr>
        <w:t>商务及资信评价证明材料</w:t>
      </w:r>
    </w:p>
    <w:p w14:paraId="4C281BDD"/>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2"/>
      <w:lvlText w:val="%1.%2.%3.%4."/>
      <w:lvlJc w:val="left"/>
      <w:pPr>
        <w:ind w:left="134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F5D5E40"/>
    <w:multiLevelType w:val="singleLevel"/>
    <w:tmpl w:val="CF5D5E40"/>
    <w:lvl w:ilvl="0" w:tentative="0">
      <w:start w:val="1"/>
      <w:numFmt w:val="decimal"/>
      <w:lvlText w:val="(%1)"/>
      <w:lvlJc w:val="left"/>
      <w:pPr>
        <w:ind w:left="425" w:hanging="425"/>
      </w:pPr>
      <w:rPr>
        <w:rFonts w:hint="default"/>
      </w:rPr>
    </w:lvl>
  </w:abstractNum>
  <w:abstractNum w:abstractNumId="4">
    <w:nsid w:val="DECA2F09"/>
    <w:multiLevelType w:val="singleLevel"/>
    <w:tmpl w:val="DECA2F09"/>
    <w:lvl w:ilvl="0" w:tentative="0">
      <w:start w:val="1"/>
      <w:numFmt w:val="decimal"/>
      <w:lvlText w:val="(%1)"/>
      <w:lvlJc w:val="left"/>
      <w:pPr>
        <w:ind w:left="425" w:hanging="425"/>
      </w:pPr>
      <w:rPr>
        <w:rFonts w:hint="default"/>
      </w:rPr>
    </w:lvl>
  </w:abstractNum>
  <w:abstractNum w:abstractNumId="5">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6">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8">
    <w:nsid w:val="08663B86"/>
    <w:multiLevelType w:val="singleLevel"/>
    <w:tmpl w:val="08663B86"/>
    <w:lvl w:ilvl="0" w:tentative="0">
      <w:start w:val="1"/>
      <w:numFmt w:val="decimal"/>
      <w:lvlText w:val="(%1)"/>
      <w:lvlJc w:val="left"/>
      <w:pPr>
        <w:ind w:left="425" w:hanging="425"/>
      </w:pPr>
      <w:rPr>
        <w:rFonts w:hint="default"/>
      </w:rPr>
    </w:lvl>
  </w:abstractNum>
  <w:abstractNum w:abstractNumId="9">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1">
    <w:nsid w:val="2066510C"/>
    <w:multiLevelType w:val="singleLevel"/>
    <w:tmpl w:val="2066510C"/>
    <w:lvl w:ilvl="0" w:tentative="0">
      <w:start w:val="1"/>
      <w:numFmt w:val="decimal"/>
      <w:lvlText w:val="(%1)"/>
      <w:lvlJc w:val="left"/>
      <w:pPr>
        <w:ind w:left="425" w:hanging="425"/>
      </w:pPr>
      <w:rPr>
        <w:rFonts w:hint="default" w:ascii="仿宋" w:hAnsi="仿宋" w:eastAsia="仿宋" w:cs="仿宋"/>
        <w:sz w:val="21"/>
        <w:szCs w:val="21"/>
      </w:rPr>
    </w:lvl>
  </w:abstractNum>
  <w:abstractNum w:abstractNumId="12">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3">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10"/>
  </w:num>
  <w:num w:numId="2">
    <w:abstractNumId w:val="1"/>
  </w:num>
  <w:num w:numId="3">
    <w:abstractNumId w:val="6"/>
  </w:num>
  <w:num w:numId="4">
    <w:abstractNumId w:val="9"/>
  </w:num>
  <w:num w:numId="5">
    <w:abstractNumId w:val="3"/>
  </w:num>
  <w:num w:numId="6">
    <w:abstractNumId w:val="11"/>
  </w:num>
  <w:num w:numId="7">
    <w:abstractNumId w:val="4"/>
  </w:num>
  <w:num w:numId="8">
    <w:abstractNumId w:val="8"/>
  </w:num>
  <w:num w:numId="9">
    <w:abstractNumId w:val="7"/>
  </w:num>
  <w:num w:numId="10">
    <w:abstractNumId w:val="5"/>
  </w:num>
  <w:num w:numId="11">
    <w:abstractNumId w:val="2"/>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GUwZmNhZjA3YTYxZWYwMzVmM2Q1ZWU5ODAxOWEifQ=="/>
  </w:docVars>
  <w:rsids>
    <w:rsidRoot w:val="53FB68E3"/>
    <w:rsid w:val="000027F9"/>
    <w:rsid w:val="006E4A62"/>
    <w:rsid w:val="0082524A"/>
    <w:rsid w:val="00C92D2B"/>
    <w:rsid w:val="00D51761"/>
    <w:rsid w:val="00E822F9"/>
    <w:rsid w:val="00F32906"/>
    <w:rsid w:val="00F53CB4"/>
    <w:rsid w:val="0154230C"/>
    <w:rsid w:val="018836E9"/>
    <w:rsid w:val="020A2568"/>
    <w:rsid w:val="02BF0358"/>
    <w:rsid w:val="033B4CFD"/>
    <w:rsid w:val="04425FE9"/>
    <w:rsid w:val="061439B5"/>
    <w:rsid w:val="06377CD2"/>
    <w:rsid w:val="09294C09"/>
    <w:rsid w:val="0B1F5EC8"/>
    <w:rsid w:val="0D3E3974"/>
    <w:rsid w:val="0D5F7C0C"/>
    <w:rsid w:val="0EFC0FC2"/>
    <w:rsid w:val="112D72E7"/>
    <w:rsid w:val="12130C68"/>
    <w:rsid w:val="134C5A2A"/>
    <w:rsid w:val="134D764E"/>
    <w:rsid w:val="145C51D1"/>
    <w:rsid w:val="149633B3"/>
    <w:rsid w:val="14C14790"/>
    <w:rsid w:val="14E07FD6"/>
    <w:rsid w:val="17166BB7"/>
    <w:rsid w:val="19A2414E"/>
    <w:rsid w:val="19D5786F"/>
    <w:rsid w:val="1A162DE7"/>
    <w:rsid w:val="1B50464C"/>
    <w:rsid w:val="1B592166"/>
    <w:rsid w:val="1C6232CC"/>
    <w:rsid w:val="1E5D3CF4"/>
    <w:rsid w:val="1FD8409E"/>
    <w:rsid w:val="21AB121A"/>
    <w:rsid w:val="224A1E30"/>
    <w:rsid w:val="25001B3E"/>
    <w:rsid w:val="25212EA4"/>
    <w:rsid w:val="26E20509"/>
    <w:rsid w:val="27AF7F38"/>
    <w:rsid w:val="28350492"/>
    <w:rsid w:val="28942C22"/>
    <w:rsid w:val="2A7404F3"/>
    <w:rsid w:val="2B1167EC"/>
    <w:rsid w:val="2BAB28CF"/>
    <w:rsid w:val="2BEF5A7E"/>
    <w:rsid w:val="2EBD19FE"/>
    <w:rsid w:val="2F4A1DA3"/>
    <w:rsid w:val="309B756E"/>
    <w:rsid w:val="30F96FE4"/>
    <w:rsid w:val="3229467A"/>
    <w:rsid w:val="32346F6E"/>
    <w:rsid w:val="33217710"/>
    <w:rsid w:val="356824AE"/>
    <w:rsid w:val="36FE4E33"/>
    <w:rsid w:val="37415068"/>
    <w:rsid w:val="38483D77"/>
    <w:rsid w:val="3989585D"/>
    <w:rsid w:val="3BF96922"/>
    <w:rsid w:val="3D124031"/>
    <w:rsid w:val="3F0E37CA"/>
    <w:rsid w:val="3F48163C"/>
    <w:rsid w:val="407777C7"/>
    <w:rsid w:val="40C1324F"/>
    <w:rsid w:val="40F7100D"/>
    <w:rsid w:val="418C7B4C"/>
    <w:rsid w:val="42E44134"/>
    <w:rsid w:val="42F71016"/>
    <w:rsid w:val="437E6A62"/>
    <w:rsid w:val="43F502ED"/>
    <w:rsid w:val="440717B9"/>
    <w:rsid w:val="44EF4B92"/>
    <w:rsid w:val="452964E4"/>
    <w:rsid w:val="45A25D72"/>
    <w:rsid w:val="47002253"/>
    <w:rsid w:val="48EE1869"/>
    <w:rsid w:val="4A251E97"/>
    <w:rsid w:val="4A967D1C"/>
    <w:rsid w:val="4AAB17C9"/>
    <w:rsid w:val="4B060DE4"/>
    <w:rsid w:val="4B863E47"/>
    <w:rsid w:val="4BA8289A"/>
    <w:rsid w:val="4C8E331F"/>
    <w:rsid w:val="4D3679D2"/>
    <w:rsid w:val="4DA35DAA"/>
    <w:rsid w:val="4E324304"/>
    <w:rsid w:val="4E8F1391"/>
    <w:rsid w:val="4E960E10"/>
    <w:rsid w:val="4F912AF7"/>
    <w:rsid w:val="4FC25E01"/>
    <w:rsid w:val="4FFC645A"/>
    <w:rsid w:val="510F3D41"/>
    <w:rsid w:val="52D81261"/>
    <w:rsid w:val="53C30726"/>
    <w:rsid w:val="53FB68E3"/>
    <w:rsid w:val="54674340"/>
    <w:rsid w:val="5699159A"/>
    <w:rsid w:val="584A577E"/>
    <w:rsid w:val="58DD3FB8"/>
    <w:rsid w:val="59705FB7"/>
    <w:rsid w:val="59F24396"/>
    <w:rsid w:val="5A0D01D8"/>
    <w:rsid w:val="5A46358F"/>
    <w:rsid w:val="5B376630"/>
    <w:rsid w:val="5BAB74D2"/>
    <w:rsid w:val="61091B6E"/>
    <w:rsid w:val="61CB270F"/>
    <w:rsid w:val="6312740B"/>
    <w:rsid w:val="647C797D"/>
    <w:rsid w:val="66960447"/>
    <w:rsid w:val="69DC2875"/>
    <w:rsid w:val="6B00660B"/>
    <w:rsid w:val="6B814C60"/>
    <w:rsid w:val="6BC13EDE"/>
    <w:rsid w:val="6CD750E5"/>
    <w:rsid w:val="6D5B386F"/>
    <w:rsid w:val="6E273E68"/>
    <w:rsid w:val="6EA714F2"/>
    <w:rsid w:val="6F1B1316"/>
    <w:rsid w:val="6FC059F2"/>
    <w:rsid w:val="705D2F1B"/>
    <w:rsid w:val="70DD5D87"/>
    <w:rsid w:val="71962296"/>
    <w:rsid w:val="71A548FD"/>
    <w:rsid w:val="73282E7D"/>
    <w:rsid w:val="73440DCB"/>
    <w:rsid w:val="73874192"/>
    <w:rsid w:val="74F95B2E"/>
    <w:rsid w:val="77035D31"/>
    <w:rsid w:val="78C21364"/>
    <w:rsid w:val="79452192"/>
    <w:rsid w:val="796678F5"/>
    <w:rsid w:val="796D14E2"/>
    <w:rsid w:val="7A61096C"/>
    <w:rsid w:val="7AED2C21"/>
    <w:rsid w:val="7B4C7DFC"/>
    <w:rsid w:val="7C064B9A"/>
    <w:rsid w:val="7D11496B"/>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39"/>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2"/>
    <w:autoRedefine/>
    <w:unhideWhenUsed/>
    <w:qFormat/>
    <w:uiPriority w:val="0"/>
    <w:pPr>
      <w:keepNext/>
      <w:keepLines/>
      <w:numPr>
        <w:ilvl w:val="2"/>
        <w:numId w:val="0"/>
      </w:numPr>
      <w:spacing w:line="240" w:lineRule="auto"/>
      <w:outlineLvl w:val="2"/>
    </w:pPr>
    <w:rPr>
      <w:b/>
      <w:sz w:val="28"/>
    </w:rPr>
  </w:style>
  <w:style w:type="paragraph" w:styleId="2">
    <w:name w:val="heading 4"/>
    <w:basedOn w:val="1"/>
    <w:next w:val="1"/>
    <w:link w:val="31"/>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4"/>
    <w:autoRedefine/>
    <w:qFormat/>
    <w:uiPriority w:val="0"/>
    <w:rPr>
      <w:rFonts w:ascii="楷体_GB2312" w:hAnsi="Arial" w:eastAsia="楷体_GB2312"/>
      <w:sz w:val="28"/>
      <w:szCs w:val="28"/>
    </w:rPr>
  </w:style>
  <w:style w:type="paragraph" w:styleId="14">
    <w:name w:val="Body Text First Indent"/>
    <w:basedOn w:val="13"/>
    <w:qFormat/>
    <w:uiPriority w:val="0"/>
    <w:pPr>
      <w:ind w:firstLine="420"/>
    </w:pPr>
    <w:rPr>
      <w:rFonts w:ascii="宋体" w:hAnsi="宋体"/>
      <w:sz w:val="24"/>
    </w:rPr>
  </w:style>
  <w:style w:type="paragraph" w:styleId="15">
    <w:name w:val="Body Text Indent"/>
    <w:basedOn w:val="1"/>
    <w:next w:val="16"/>
    <w:link w:val="35"/>
    <w:autoRedefine/>
    <w:qFormat/>
    <w:uiPriority w:val="0"/>
    <w:pPr>
      <w:ind w:firstLine="795"/>
    </w:pPr>
    <w:rPr>
      <w:sz w:val="32"/>
      <w:szCs w:val="32"/>
    </w:r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qFormat/>
    <w:uiPriority w:val="0"/>
    <w:pPr>
      <w:ind w:left="840" w:leftChars="400"/>
    </w:pPr>
  </w:style>
  <w:style w:type="paragraph" w:styleId="18">
    <w:name w:val="Date"/>
    <w:basedOn w:val="1"/>
    <w:next w:val="1"/>
    <w:autoRedefine/>
    <w:qFormat/>
    <w:uiPriority w:val="0"/>
  </w:style>
  <w:style w:type="paragraph" w:styleId="19">
    <w:name w:val="Balloon Text"/>
    <w:basedOn w:val="1"/>
    <w:link w:val="38"/>
    <w:autoRedefine/>
    <w:qFormat/>
    <w:uiPriority w:val="0"/>
    <w:rPr>
      <w:sz w:val="18"/>
      <w:szCs w:val="18"/>
    </w:rPr>
  </w:style>
  <w:style w:type="paragraph" w:styleId="20">
    <w:name w:val="toc 1"/>
    <w:basedOn w:val="1"/>
    <w:next w:val="1"/>
    <w:autoRedefine/>
    <w:qFormat/>
    <w:uiPriority w:val="0"/>
  </w:style>
  <w:style w:type="paragraph" w:styleId="21">
    <w:name w:val="Body Text Indent 3"/>
    <w:basedOn w:val="1"/>
    <w:next w:val="11"/>
    <w:qFormat/>
    <w:uiPriority w:val="0"/>
    <w:pPr>
      <w:spacing w:line="360" w:lineRule="auto"/>
      <w:ind w:firstLine="617" w:firstLineChars="257"/>
    </w:pPr>
    <w:rPr>
      <w:rFonts w:eastAsia="宋体"/>
      <w:sz w:val="24"/>
      <w:szCs w:val="24"/>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spacing w:before="100" w:beforeAutospacing="1" w:after="100" w:afterAutospacing="1"/>
      <w:jc w:val="left"/>
    </w:pPr>
    <w:rPr>
      <w:rFonts w:ascii="宋体" w:hAnsi="宋体" w:cs="宋体"/>
    </w:rPr>
  </w:style>
  <w:style w:type="paragraph" w:styleId="24">
    <w:name w:val="Body Text First Indent 2"/>
    <w:basedOn w:val="15"/>
    <w:next w:val="21"/>
    <w:unhideWhenUsed/>
    <w:qFormat/>
    <w:uiPriority w:val="0"/>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paragraph" w:styleId="29">
    <w:name w:val="List Paragraph"/>
    <w:basedOn w:val="1"/>
    <w:autoRedefine/>
    <w:qFormat/>
    <w:uiPriority w:val="34"/>
    <w:pPr>
      <w:ind w:firstLine="420"/>
    </w:pPr>
    <w:rPr>
      <w:rFonts w:ascii="Calibri" w:hAnsi="Calibri"/>
    </w:rPr>
  </w:style>
  <w:style w:type="paragraph" w:customStyle="1" w:styleId="30">
    <w:name w:val="正文（缩进）"/>
    <w:basedOn w:val="1"/>
    <w:autoRedefine/>
    <w:qFormat/>
    <w:uiPriority w:val="0"/>
    <w:pPr>
      <w:ind w:firstLine="480" w:firstLineChars="200"/>
    </w:pPr>
  </w:style>
  <w:style w:type="character" w:customStyle="1" w:styleId="31">
    <w:name w:val="标题 4 Char"/>
    <w:link w:val="2"/>
    <w:autoRedefine/>
    <w:qFormat/>
    <w:uiPriority w:val="0"/>
    <w:rPr>
      <w:rFonts w:ascii="Arial" w:hAnsi="Arial" w:eastAsia="微软雅黑"/>
      <w:sz w:val="24"/>
    </w:rPr>
  </w:style>
  <w:style w:type="paragraph" w:customStyle="1" w:styleId="32">
    <w:name w:val="Body text|2"/>
    <w:basedOn w:val="1"/>
    <w:autoRedefine/>
    <w:qFormat/>
    <w:uiPriority w:val="0"/>
    <w:pPr>
      <w:jc w:val="center"/>
    </w:pPr>
    <w:rPr>
      <w:rFonts w:ascii="宋体" w:hAnsi="宋体" w:cs="宋体"/>
      <w:sz w:val="26"/>
      <w:szCs w:val="26"/>
      <w:lang w:val="zh-TW" w:eastAsia="zh-TW" w:bidi="zh-TW"/>
    </w:rPr>
  </w:style>
  <w:style w:type="paragraph" w:customStyle="1" w:styleId="33">
    <w:name w:val="Other|1"/>
    <w:basedOn w:val="1"/>
    <w:autoRedefine/>
    <w:qFormat/>
    <w:uiPriority w:val="0"/>
    <w:rPr>
      <w:rFonts w:ascii="宋体" w:hAnsi="宋体" w:cs="宋体"/>
      <w:sz w:val="15"/>
      <w:szCs w:val="15"/>
      <w:lang w:val="zh-TW" w:eastAsia="zh-TW" w:bidi="zh-TW"/>
    </w:rPr>
  </w:style>
  <w:style w:type="paragraph" w:customStyle="1" w:styleId="34">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5">
    <w:name w:val="正文文本缩进 Char"/>
    <w:link w:val="15"/>
    <w:autoRedefine/>
    <w:qFormat/>
    <w:uiPriority w:val="0"/>
    <w:rPr>
      <w:color w:val="auto"/>
      <w:sz w:val="32"/>
      <w:szCs w:val="32"/>
    </w:rPr>
  </w:style>
  <w:style w:type="character" w:customStyle="1" w:styleId="36">
    <w:name w:val="font11"/>
    <w:basedOn w:val="27"/>
    <w:autoRedefine/>
    <w:qFormat/>
    <w:uiPriority w:val="0"/>
    <w:rPr>
      <w:rFonts w:hint="eastAsia" w:ascii="宋体" w:hAnsi="宋体" w:eastAsia="宋体" w:cs="宋体"/>
      <w:color w:val="000000"/>
      <w:sz w:val="20"/>
      <w:szCs w:val="20"/>
      <w:u w:val="none"/>
    </w:rPr>
  </w:style>
  <w:style w:type="character" w:customStyle="1" w:styleId="37">
    <w:name w:val="font01"/>
    <w:basedOn w:val="27"/>
    <w:autoRedefine/>
    <w:qFormat/>
    <w:uiPriority w:val="0"/>
    <w:rPr>
      <w:rFonts w:hint="default" w:ascii="Arial" w:hAnsi="Arial" w:cs="Arial"/>
      <w:color w:val="000000"/>
      <w:sz w:val="20"/>
      <w:szCs w:val="20"/>
      <w:u w:val="none"/>
    </w:rPr>
  </w:style>
  <w:style w:type="character" w:customStyle="1" w:styleId="38">
    <w:name w:val="批注框文本 Char"/>
    <w:basedOn w:val="27"/>
    <w:link w:val="19"/>
    <w:autoRedefine/>
    <w:qFormat/>
    <w:uiPriority w:val="0"/>
    <w:rPr>
      <w:rFonts w:asciiTheme="minorHAnsi" w:hAnsiTheme="minorHAnsi" w:cstheme="minorBidi"/>
      <w:kern w:val="2"/>
      <w:sz w:val="18"/>
      <w:szCs w:val="18"/>
    </w:rPr>
  </w:style>
  <w:style w:type="character" w:customStyle="1" w:styleId="39">
    <w:name w:val="标题 2 字符"/>
    <w:link w:val="4"/>
    <w:autoRedefine/>
    <w:qFormat/>
    <w:uiPriority w:val="0"/>
    <w:rPr>
      <w:rFonts w:ascii="Arial" w:hAnsi="Arial" w:eastAsia="黑体"/>
      <w:b/>
      <w:sz w:val="32"/>
    </w:rPr>
  </w:style>
  <w:style w:type="paragraph" w:customStyle="1" w:styleId="40">
    <w:name w:val="Table Text"/>
    <w:basedOn w:val="1"/>
    <w:autoRedefine/>
    <w:semiHidden/>
    <w:qFormat/>
    <w:uiPriority w:val="0"/>
    <w:rPr>
      <w:rFonts w:ascii="宋体" w:hAnsi="宋体" w:eastAsia="宋体" w:cs="宋体"/>
      <w:sz w:val="18"/>
      <w:szCs w:val="18"/>
      <w:lang w:val="en-US" w:eastAsia="en-US" w:bidi="ar-SA"/>
    </w:rPr>
  </w:style>
  <w:style w:type="table" w:customStyle="1" w:styleId="41">
    <w:name w:val="Table Normal"/>
    <w:autoRedefine/>
    <w:unhideWhenUsed/>
    <w:qFormat/>
    <w:uiPriority w:val="0"/>
    <w:tblPr>
      <w:tblCellMar>
        <w:top w:w="0" w:type="dxa"/>
        <w:left w:w="0" w:type="dxa"/>
        <w:bottom w:w="0" w:type="dxa"/>
        <w:right w:w="0" w:type="dxa"/>
      </w:tblCellMar>
    </w:tblPr>
  </w:style>
  <w:style w:type="character" w:customStyle="1" w:styleId="42">
    <w:name w:val="标题 3 Char"/>
    <w:link w:val="5"/>
    <w:autoRedefine/>
    <w:qFormat/>
    <w:uiPriority w:val="0"/>
    <w:rPr>
      <w:rFonts w:eastAsia="宋体"/>
      <w:b/>
      <w:sz w:val="28"/>
    </w:rPr>
  </w:style>
  <w:style w:type="paragraph" w:customStyle="1" w:styleId="43">
    <w:name w:val="WPSOffice手动目录 1"/>
    <w:autoRedefine/>
    <w:qFormat/>
    <w:uiPriority w:val="0"/>
    <w:pPr>
      <w:ind w:leftChars="0"/>
    </w:pPr>
    <w:rPr>
      <w:rFonts w:ascii="Times New Roman" w:hAnsi="Times New Roman" w:eastAsia="宋体" w:cs="Times New Roman"/>
      <w:sz w:val="20"/>
      <w:szCs w:val="20"/>
    </w:rPr>
  </w:style>
  <w:style w:type="paragraph" w:customStyle="1" w:styleId="44">
    <w:name w:val="WPSOffice手动目录 3"/>
    <w:autoRedefine/>
    <w:qFormat/>
    <w:uiPriority w:val="0"/>
    <w:pPr>
      <w:ind w:leftChars="400"/>
    </w:pPr>
    <w:rPr>
      <w:rFonts w:ascii="Times New Roman" w:hAnsi="Times New Roman" w:eastAsia="宋体" w:cs="Times New Roman"/>
      <w:sz w:val="20"/>
      <w:szCs w:val="20"/>
    </w:rPr>
  </w:style>
  <w:style w:type="paragraph" w:customStyle="1" w:styleId="45">
    <w:name w:val="WPSOffice手动目录 2"/>
    <w:autoRedefine/>
    <w:qFormat/>
    <w:uiPriority w:val="0"/>
    <w:pPr>
      <w:ind w:leftChars="200"/>
    </w:pPr>
    <w:rPr>
      <w:rFonts w:ascii="Times New Roman" w:hAnsi="Times New Roman" w:eastAsia="宋体" w:cs="Times New Roman"/>
      <w:sz w:val="20"/>
      <w:szCs w:val="20"/>
    </w:rPr>
  </w:style>
  <w:style w:type="paragraph" w:customStyle="1" w:styleId="46">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47">
    <w:name w:val="font31"/>
    <w:basedOn w:val="27"/>
    <w:qFormat/>
    <w:uiPriority w:val="0"/>
    <w:rPr>
      <w:rFonts w:hint="eastAsia" w:ascii="宋体" w:hAnsi="宋体" w:eastAsia="宋体" w:cs="宋体"/>
      <w:b/>
      <w:bCs/>
      <w:color w:val="000000"/>
      <w:sz w:val="21"/>
      <w:szCs w:val="21"/>
      <w:u w:val="none"/>
    </w:rPr>
  </w:style>
  <w:style w:type="character" w:customStyle="1" w:styleId="48">
    <w:name w:val="font21"/>
    <w:basedOn w:val="2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7374</Words>
  <Characters>7542</Characters>
  <Lines>24</Lines>
  <Paragraphs>6</Paragraphs>
  <TotalTime>5</TotalTime>
  <ScaleCrop>false</ScaleCrop>
  <LinksUpToDate>false</LinksUpToDate>
  <CharactersWithSpaces>8719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2024-09-16T01:45:00Z</cp:lastPrinted>
  <dcterms:modified xsi:type="dcterms:W3CDTF">2024-10-07T05:56:02Z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E56FD8B27CF04C629AB3B0E7DEA2C3CA_13</vt:lpwstr>
  </property>
</Properties>
</file>