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D7565">
      <w:pPr>
        <w:pStyle w:val="5"/>
        <w:jc w:val="center"/>
        <w:rPr>
          <w:rFonts w:ascii="微软雅黑" w:hAnsi="微软雅黑" w:cs="微软雅黑"/>
          <w:b/>
          <w:bCs/>
        </w:rPr>
      </w:pPr>
      <w:r>
        <w:rPr>
          <w:rFonts w:hint="eastAsia" w:ascii="微软雅黑" w:hAnsi="微软雅黑" w:cs="微软雅黑"/>
          <w:b/>
          <w:bCs/>
          <w:kern w:val="0"/>
        </w:rPr>
        <w:t>丹阳</w:t>
      </w:r>
      <w:r>
        <w:rPr>
          <w:rFonts w:hint="eastAsia" w:ascii="微软雅黑" w:hAnsi="微软雅黑" w:cs="微软雅黑"/>
          <w:b/>
          <w:bCs/>
        </w:rPr>
        <w:t>市人民医院高配房1号变压器有源滤波无功补偿柜维修采购文件</w:t>
      </w:r>
    </w:p>
    <w:p w14:paraId="37CFC24F">
      <w:pPr>
        <w:pStyle w:val="5"/>
      </w:pPr>
      <w:r>
        <w:rPr>
          <w:rFonts w:hint="eastAsia"/>
        </w:rPr>
        <w:t>一、项目基本情况</w:t>
      </w:r>
    </w:p>
    <w:p w14:paraId="59645DB0">
      <w:pPr>
        <w:pStyle w:val="5"/>
        <w:numPr>
          <w:ilvl w:val="0"/>
          <w:numId w:val="2"/>
        </w:numPr>
        <w:rPr>
          <w:rFonts w:ascii="宋体" w:hAnsi="宋体" w:eastAsia="宋体" w:cs="宋体"/>
        </w:rPr>
      </w:pPr>
      <w:r>
        <w:rPr>
          <w:rFonts w:hint="eastAsia" w:ascii="宋体" w:hAnsi="宋体" w:eastAsia="宋体" w:cs="宋体"/>
        </w:rPr>
        <w:t>名称：1号变压器有源滤波无功补偿柜维修采购项目；</w:t>
      </w:r>
    </w:p>
    <w:p w14:paraId="23FB8C9D">
      <w:pPr>
        <w:numPr>
          <w:ilvl w:val="0"/>
          <w:numId w:val="2"/>
        </w:numPr>
        <w:rPr>
          <w:rFonts w:ascii="宋体" w:hAnsi="宋体" w:cs="宋体"/>
        </w:rPr>
      </w:pPr>
      <w:r>
        <w:rPr>
          <w:rFonts w:hint="eastAsia" w:ascii="宋体" w:hAnsi="宋体" w:cs="宋体"/>
        </w:rPr>
        <w:t>预算：72321元；</w:t>
      </w:r>
    </w:p>
    <w:p w14:paraId="1498564A">
      <w:pPr>
        <w:numPr>
          <w:ilvl w:val="0"/>
          <w:numId w:val="2"/>
        </w:numPr>
        <w:jc w:val="left"/>
        <w:rPr>
          <w:rFonts w:ascii="宋体" w:hAnsi="宋体" w:cs="宋体"/>
        </w:rPr>
      </w:pPr>
      <w:r>
        <w:rPr>
          <w:rFonts w:hint="eastAsia" w:ascii="宋体" w:hAnsi="宋体" w:cs="宋体"/>
        </w:rPr>
        <w:t>采购方式：竞争性谈判；</w:t>
      </w:r>
    </w:p>
    <w:p w14:paraId="4C4FB1DF">
      <w:pPr>
        <w:numPr>
          <w:ilvl w:val="0"/>
          <w:numId w:val="2"/>
        </w:numPr>
        <w:jc w:val="left"/>
        <w:rPr>
          <w:rFonts w:ascii="宋体" w:hAnsi="宋体" w:cs="宋体"/>
        </w:rPr>
      </w:pPr>
      <w:r>
        <w:rPr>
          <w:rFonts w:hint="eastAsia" w:ascii="宋体" w:hAnsi="宋体" w:cs="宋体"/>
        </w:rPr>
        <w:t>评审方法：最低价法</w:t>
      </w:r>
      <w:r>
        <w:rPr>
          <w:rFonts w:hint="eastAsia" w:ascii="宋体" w:hAnsi="宋体" w:cs="宋体"/>
          <w:bCs/>
        </w:rPr>
        <w:t>(一次性报价)；</w:t>
      </w:r>
    </w:p>
    <w:p w14:paraId="07A05980">
      <w:pPr>
        <w:numPr>
          <w:ilvl w:val="0"/>
          <w:numId w:val="2"/>
        </w:numPr>
        <w:rPr>
          <w:rFonts w:ascii="宋体" w:hAnsi="宋体" w:cs="宋体"/>
        </w:rPr>
      </w:pPr>
      <w:r>
        <w:rPr>
          <w:rFonts w:hint="eastAsia" w:ascii="宋体" w:hAnsi="宋体" w:cs="宋体"/>
        </w:rPr>
        <w:t>采购途径：院内公开比选；</w:t>
      </w:r>
    </w:p>
    <w:p w14:paraId="1FA41244">
      <w:pPr>
        <w:numPr>
          <w:ilvl w:val="0"/>
          <w:numId w:val="2"/>
        </w:numPr>
        <w:rPr>
          <w:rFonts w:ascii="宋体" w:hAnsi="宋体" w:cs="宋体"/>
        </w:rPr>
      </w:pPr>
      <w:r>
        <w:rPr>
          <w:rFonts w:hint="eastAsia" w:ascii="宋体" w:hAnsi="宋体" w:cs="宋体"/>
        </w:rPr>
        <w:t xml:space="preserve">项目内部编号: </w:t>
      </w:r>
      <w:r>
        <w:rPr>
          <w:rFonts w:hint="eastAsia" w:ascii="宋体" w:hAnsi="宋体" w:cs="宋体"/>
          <w:lang w:bidi="ar"/>
        </w:rPr>
        <w:t>DRY-CG-2025005</w:t>
      </w:r>
      <w:r>
        <w:rPr>
          <w:rFonts w:hint="eastAsia" w:ascii="宋体" w:hAnsi="宋体" w:cs="宋体"/>
          <w:sz w:val="21"/>
          <w:szCs w:val="21"/>
          <w:lang w:bidi="ar"/>
        </w:rPr>
        <w:t>。</w:t>
      </w:r>
    </w:p>
    <w:p w14:paraId="7EA286CA">
      <w:pPr>
        <w:jc w:val="left"/>
        <w:rPr>
          <w:rFonts w:ascii="宋体" w:hAnsi="宋体" w:cs="宋体"/>
        </w:rPr>
      </w:pPr>
    </w:p>
    <w:p w14:paraId="15F61C80">
      <w:pPr>
        <w:pStyle w:val="5"/>
      </w:pPr>
      <w:r>
        <w:rPr>
          <w:rFonts w:hint="eastAsia"/>
        </w:rPr>
        <w:t>二、报名时间及地点</w:t>
      </w:r>
    </w:p>
    <w:p w14:paraId="59F88A8B">
      <w:pPr>
        <w:numPr>
          <w:ilvl w:val="0"/>
          <w:numId w:val="3"/>
        </w:numPr>
        <w:ind w:firstLine="0"/>
        <w:rPr>
          <w:rFonts w:ascii="宋体" w:hAnsi="宋体" w:cs="宋体"/>
          <w:bCs/>
        </w:rPr>
      </w:pPr>
      <w:r>
        <w:rPr>
          <w:rFonts w:hint="eastAsia" w:ascii="宋体" w:hAnsi="宋体" w:cs="宋体"/>
          <w:bCs/>
        </w:rPr>
        <w:t>报名时间：</w:t>
      </w:r>
      <w:r>
        <w:rPr>
          <w:rFonts w:hint="eastAsia" w:ascii="宋体" w:hAnsi="宋体" w:cs="宋体"/>
          <w:bCs/>
          <w:lang w:val="en-US" w:eastAsia="zh-CN"/>
        </w:rPr>
        <w:t>2025</w:t>
      </w:r>
      <w:r>
        <w:rPr>
          <w:rFonts w:hint="eastAsia" w:ascii="宋体" w:hAnsi="宋体" w:cs="宋体"/>
          <w:bCs/>
        </w:rPr>
        <w:t>年</w:t>
      </w:r>
      <w:r>
        <w:rPr>
          <w:rFonts w:hint="eastAsia" w:ascii="宋体" w:hAnsi="宋体" w:cs="宋体"/>
          <w:bCs/>
          <w:lang w:val="en-US" w:eastAsia="zh-CN"/>
        </w:rPr>
        <w:t>03</w:t>
      </w:r>
      <w:r>
        <w:rPr>
          <w:rFonts w:hint="eastAsia" w:ascii="宋体" w:hAnsi="宋体" w:cs="宋体"/>
          <w:bCs/>
        </w:rPr>
        <w:t>月</w:t>
      </w:r>
      <w:r>
        <w:rPr>
          <w:rFonts w:hint="eastAsia" w:ascii="宋体" w:hAnsi="宋体" w:cs="宋体"/>
          <w:bCs/>
          <w:lang w:val="en-US" w:eastAsia="zh-CN"/>
        </w:rPr>
        <w:t>07</w:t>
      </w:r>
      <w:r>
        <w:rPr>
          <w:rFonts w:hint="eastAsia" w:ascii="宋体" w:hAnsi="宋体" w:cs="宋体"/>
          <w:bCs/>
        </w:rPr>
        <w:t>日至</w:t>
      </w:r>
      <w:r>
        <w:rPr>
          <w:rFonts w:hint="eastAsia" w:ascii="宋体" w:hAnsi="宋体" w:cs="宋体"/>
          <w:bCs/>
          <w:lang w:val="en-US" w:eastAsia="zh-CN"/>
        </w:rPr>
        <w:t>2025</w:t>
      </w:r>
      <w:r>
        <w:rPr>
          <w:rFonts w:hint="eastAsia" w:ascii="宋体" w:hAnsi="宋体" w:cs="宋体"/>
          <w:bCs/>
        </w:rPr>
        <w:t>年</w:t>
      </w:r>
      <w:r>
        <w:rPr>
          <w:rFonts w:hint="eastAsia" w:ascii="宋体" w:hAnsi="宋体" w:cs="宋体"/>
          <w:bCs/>
          <w:lang w:val="en-US" w:eastAsia="zh-CN"/>
        </w:rPr>
        <w:t>03</w:t>
      </w:r>
      <w:r>
        <w:rPr>
          <w:rFonts w:hint="eastAsia" w:ascii="宋体" w:hAnsi="宋体" w:cs="宋体"/>
          <w:bCs/>
        </w:rPr>
        <w:t>月</w:t>
      </w:r>
      <w:r>
        <w:rPr>
          <w:rFonts w:hint="eastAsia" w:ascii="宋体" w:hAnsi="宋体" w:cs="宋体"/>
          <w:bCs/>
          <w:lang w:val="en-US" w:eastAsia="zh-CN"/>
        </w:rPr>
        <w:t>14</w:t>
      </w:r>
      <w:r>
        <w:rPr>
          <w:rFonts w:hint="eastAsia" w:ascii="宋体" w:hAnsi="宋体" w:cs="宋体"/>
          <w:bCs/>
        </w:rPr>
        <w:t>日(节假日除外）；</w:t>
      </w:r>
    </w:p>
    <w:p w14:paraId="49AB9327">
      <w:pPr>
        <w:ind w:firstLine="240" w:firstLineChars="100"/>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w:t>
      </w:r>
      <w:r>
        <w:rPr>
          <w:rFonts w:hint="eastAsia" w:ascii="宋体" w:hAnsi="宋体" w:cs="宋体"/>
          <w:bCs/>
        </w:rPr>
        <w:t>0-5:</w:t>
      </w:r>
      <w:r>
        <w:rPr>
          <w:rFonts w:hint="eastAsia" w:ascii="宋体" w:hAnsi="宋体" w:cs="宋体"/>
          <w:bCs/>
          <w:lang w:val="en-US" w:eastAsia="zh-CN"/>
        </w:rPr>
        <w:t>0</w:t>
      </w:r>
      <w:bookmarkStart w:id="12" w:name="_GoBack"/>
      <w:bookmarkEnd w:id="12"/>
      <w:r>
        <w:rPr>
          <w:rFonts w:hint="eastAsia" w:ascii="宋体" w:hAnsi="宋体" w:cs="宋体"/>
          <w:bCs/>
        </w:rPr>
        <w:t>0）</w:t>
      </w:r>
    </w:p>
    <w:p w14:paraId="25D4C1CE">
      <w:pPr>
        <w:numPr>
          <w:ilvl w:val="0"/>
          <w:numId w:val="3"/>
        </w:numPr>
        <w:ind w:firstLine="0"/>
        <w:rPr>
          <w:rFonts w:ascii="宋体" w:hAnsi="宋体" w:cs="宋体"/>
          <w:bCs/>
        </w:rPr>
      </w:pPr>
      <w:r>
        <w:rPr>
          <w:rFonts w:hint="eastAsia" w:ascii="宋体" w:hAnsi="宋体" w:cs="宋体"/>
          <w:bCs/>
        </w:rPr>
        <w:t>报名地点：丹阳市教育印刷厂三楼丹阳市人民医院采购中心；</w:t>
      </w:r>
    </w:p>
    <w:p w14:paraId="67B32D97">
      <w:pPr>
        <w:numPr>
          <w:ilvl w:val="0"/>
          <w:numId w:val="3"/>
        </w:numPr>
        <w:ind w:firstLine="0"/>
        <w:rPr>
          <w:rFonts w:ascii="宋体" w:hAnsi="宋体" w:cs="宋体"/>
          <w:bCs/>
        </w:rPr>
      </w:pPr>
      <w:r>
        <w:rPr>
          <w:rFonts w:hint="eastAsia" w:ascii="宋体" w:hAnsi="宋体" w:cs="宋体"/>
          <w:bCs/>
        </w:rPr>
        <w:t>联系人：杨先生；</w:t>
      </w:r>
    </w:p>
    <w:p w14:paraId="71A596F8">
      <w:pPr>
        <w:numPr>
          <w:ilvl w:val="0"/>
          <w:numId w:val="3"/>
        </w:numPr>
        <w:ind w:firstLine="0"/>
        <w:rPr>
          <w:rFonts w:ascii="宋体" w:hAnsi="宋体" w:cs="宋体"/>
          <w:bCs/>
        </w:rPr>
      </w:pPr>
      <w:r>
        <w:rPr>
          <w:rFonts w:hint="eastAsia" w:ascii="宋体" w:hAnsi="宋体" w:cs="宋体"/>
          <w:bCs/>
        </w:rPr>
        <w:t>联系电话：0511-86553123 15189172512。</w:t>
      </w:r>
    </w:p>
    <w:p w14:paraId="4B09B159">
      <w:pPr>
        <w:pStyle w:val="5"/>
      </w:pPr>
      <w:r>
        <w:rPr>
          <w:rFonts w:hint="eastAsia"/>
        </w:rPr>
        <w:t>三、资质要求</w:t>
      </w:r>
    </w:p>
    <w:p w14:paraId="2CB7A329">
      <w:pPr>
        <w:numPr>
          <w:ilvl w:val="0"/>
          <w:numId w:val="4"/>
        </w:numPr>
        <w:spacing w:line="360" w:lineRule="auto"/>
        <w:ind w:firstLine="0"/>
      </w:pPr>
      <w:r>
        <w:rPr>
          <w:rFonts w:hint="eastAsia"/>
        </w:rPr>
        <w:t xml:space="preserve"> </w:t>
      </w:r>
      <w:r>
        <w:rPr>
          <w:b/>
        </w:rPr>
        <w:t>投标人应具备《中华人民共和国政府采购法》第二十二条规定的条件，提供下列材料：</w:t>
      </w:r>
    </w:p>
    <w:p w14:paraId="599FF6D6">
      <w:pPr>
        <w:numPr>
          <w:ilvl w:val="0"/>
          <w:numId w:val="5"/>
        </w:numPr>
        <w:spacing w:line="360" w:lineRule="auto"/>
      </w:pPr>
      <w:r>
        <w:t>具有独立承担民事责任的能力：在中华人民共和国境内注册的法人或其他组织或自然人，投标（响应）时提交有效的营业执照（</w:t>
      </w:r>
      <w:r>
        <w:rPr>
          <w:color w:val="000000" w:themeColor="text1"/>
          <w14:textFill>
            <w14:solidFill>
              <w14:schemeClr w14:val="tx1"/>
            </w14:solidFill>
          </w14:textFill>
        </w:rPr>
        <w:t>或事业法人登记证或身份证等相关证明） 副本复印件。分支机构投标的，须</w:t>
      </w:r>
      <w:r>
        <w:t>提供总公司和分公司营业执照副本复印件</w:t>
      </w:r>
      <w:r>
        <w:rPr>
          <w:rFonts w:hint="eastAsia"/>
        </w:rPr>
        <w:t>（加盖公章）</w:t>
      </w:r>
      <w:r>
        <w:t>，总公司出具给分支机构的授权书。</w:t>
      </w:r>
    </w:p>
    <w:p w14:paraId="0664B3EF">
      <w:pPr>
        <w:numPr>
          <w:ilvl w:val="0"/>
          <w:numId w:val="5"/>
        </w:numPr>
        <w:spacing w:line="360" w:lineRule="auto"/>
      </w:pPr>
      <w:r>
        <w:t>有依法缴纳税收和社会保障资金的良好记录：有依法缴纳税收和社会保障资金的良好记录（提供</w:t>
      </w:r>
      <w:r>
        <w:rPr>
          <w:rFonts w:hint="eastAsia"/>
        </w:rPr>
        <w:t>资格承诺函</w:t>
      </w:r>
      <w:r>
        <w:t>）。</w:t>
      </w:r>
    </w:p>
    <w:p w14:paraId="363D09FD">
      <w:pPr>
        <w:numPr>
          <w:ilvl w:val="0"/>
          <w:numId w:val="5"/>
        </w:numPr>
        <w:spacing w:line="360" w:lineRule="auto"/>
      </w:pPr>
      <w:r>
        <w:t>具有良好的商业信誉和健全的财务会计制度：供应商必须具有良好的商业信誉和健全的财务会计制度（提供</w:t>
      </w:r>
      <w:r>
        <w:rPr>
          <w:rFonts w:hint="eastAsia"/>
        </w:rPr>
        <w:t>资格承诺函</w:t>
      </w:r>
      <w:r>
        <w:t>） 。</w:t>
      </w:r>
    </w:p>
    <w:p w14:paraId="0811FF0F">
      <w:pPr>
        <w:numPr>
          <w:ilvl w:val="0"/>
          <w:numId w:val="5"/>
        </w:numPr>
        <w:spacing w:line="360" w:lineRule="auto"/>
      </w:pPr>
      <w:r>
        <w:t>履行合同所必需的设备和专业技术能力：按投标（响应）文件格式填报设备及专业技术能力情况（提供</w:t>
      </w:r>
      <w:r>
        <w:rPr>
          <w:rFonts w:hint="eastAsia"/>
        </w:rPr>
        <w:t>资格承诺函</w:t>
      </w:r>
      <w:r>
        <w:t>）。</w:t>
      </w:r>
    </w:p>
    <w:p w14:paraId="7BB504E2">
      <w:r>
        <w:rPr>
          <w:rFonts w:hint="eastAsia" w:ascii="宋体" w:hAnsi="宋体"/>
          <w:color w:val="000000"/>
        </w:rPr>
        <w:t>5）参加本项目采购活动前三年内，在经营活动中没有重大违法记录</w:t>
      </w:r>
      <w:r>
        <w:t>（提供</w:t>
      </w:r>
      <w:r>
        <w:rPr>
          <w:rFonts w:hint="eastAsia"/>
        </w:rPr>
        <w:t>资格承诺函</w:t>
      </w:r>
      <w:r>
        <w:t>）</w:t>
      </w:r>
      <w:r>
        <w:rPr>
          <w:rFonts w:hint="eastAsia" w:ascii="宋体" w:hAnsi="宋体"/>
          <w:color w:val="000000"/>
        </w:rPr>
        <w:t>；</w:t>
      </w:r>
    </w:p>
    <w:p w14:paraId="1A54061A">
      <w:r>
        <w:rPr>
          <w:rFonts w:hint="eastAsia" w:ascii="宋体" w:hAnsi="宋体" w:cs="楷体"/>
          <w:szCs w:val="28"/>
          <w:highlight w:val="white"/>
        </w:rPr>
        <w:t>6）法律、行政法规规定的其他条件。</w:t>
      </w:r>
    </w:p>
    <w:p w14:paraId="584AF308">
      <w:pPr>
        <w:numPr>
          <w:ilvl w:val="0"/>
          <w:numId w:val="4"/>
        </w:numPr>
        <w:spacing w:line="360" w:lineRule="auto"/>
        <w:ind w:firstLine="0"/>
      </w:pPr>
      <w:r>
        <w:rPr>
          <w:b/>
        </w:rPr>
        <w:t>本项目特定的资格要求：</w:t>
      </w:r>
    </w:p>
    <w:p w14:paraId="1A192F73">
      <w:pPr>
        <w:numPr>
          <w:ilvl w:val="0"/>
          <w:numId w:val="6"/>
        </w:numPr>
        <w:spacing w:line="360" w:lineRule="auto"/>
      </w:pPr>
      <w:r>
        <w:rPr>
          <w:rFonts w:hint="eastAsia"/>
        </w:rPr>
        <w:t>单位负责人为同一人或者存在直接控股、管理关系的不同供应商，不得同时参加本采购项目（或采购包）投标（响应）。</w:t>
      </w:r>
    </w:p>
    <w:p w14:paraId="30F6FA31">
      <w:pPr>
        <w:pStyle w:val="25"/>
        <w:numPr>
          <w:ilvl w:val="0"/>
          <w:numId w:val="7"/>
        </w:numPr>
        <w:ind w:left="480" w:hanging="480" w:hangingChars="200"/>
        <w:rPr>
          <w:rFonts w:asciiTheme="minorHAnsi" w:hAnsiTheme="minorHAnsi"/>
          <w:lang w:val="zh-CN"/>
        </w:rPr>
      </w:pPr>
      <w:r>
        <w:rPr>
          <w:rFonts w:hint="eastAsia" w:asciiTheme="minorHAnsi" w:hAnsiTheme="minorHAnsi"/>
        </w:rPr>
        <w:t>投标人</w:t>
      </w:r>
      <w:r>
        <w:rPr>
          <w:rFonts w:hint="eastAsia" w:asciiTheme="minorHAnsi" w:hAnsiTheme="minorHAnsi"/>
          <w:lang w:val="zh-CN"/>
        </w:rPr>
        <w:t>具有</w:t>
      </w:r>
      <w:r>
        <w:rPr>
          <w:rFonts w:hint="eastAsia" w:asciiTheme="minorHAnsi" w:hAnsiTheme="minorHAnsi"/>
        </w:rPr>
        <w:t>输变电工程专业承包三级及以上资质</w:t>
      </w:r>
      <w:r>
        <w:rPr>
          <w:rFonts w:hint="eastAsia" w:asciiTheme="minorHAnsi" w:hAnsiTheme="minorHAnsi"/>
          <w:lang w:val="zh-CN"/>
        </w:rPr>
        <w:t>（提供</w:t>
      </w:r>
      <w:r>
        <w:rPr>
          <w:rFonts w:hint="eastAsia" w:asciiTheme="minorHAnsi" w:hAnsiTheme="minorHAnsi"/>
        </w:rPr>
        <w:t>证书</w:t>
      </w:r>
      <w:r>
        <w:rPr>
          <w:rFonts w:hint="eastAsia" w:asciiTheme="minorHAnsi" w:hAnsiTheme="minorHAnsi"/>
          <w:lang w:val="zh-CN"/>
        </w:rPr>
        <w:t>复印件，加盖</w:t>
      </w:r>
    </w:p>
    <w:p w14:paraId="16DB9868">
      <w:pPr>
        <w:pStyle w:val="25"/>
        <w:ind w:firstLine="480" w:firstLineChars="200"/>
        <w:rPr>
          <w:rFonts w:asciiTheme="minorHAnsi" w:hAnsiTheme="minorHAnsi"/>
        </w:rPr>
      </w:pPr>
      <w:r>
        <w:rPr>
          <w:rFonts w:hint="eastAsia" w:asciiTheme="minorHAnsi" w:hAnsiTheme="minorHAnsi"/>
          <w:lang w:val="zh-CN"/>
        </w:rPr>
        <w:t>公章）。</w:t>
      </w:r>
    </w:p>
    <w:p w14:paraId="67A156BD">
      <w:pPr>
        <w:spacing w:line="360" w:lineRule="auto"/>
        <w:jc w:val="left"/>
        <w:rPr>
          <w:rFonts w:ascii="宋体" w:hAnsi="宋体" w:cs="宋体"/>
        </w:rPr>
      </w:pPr>
      <w:r>
        <w:rPr>
          <w:rFonts w:hint="eastAsia"/>
        </w:rPr>
        <w:t>3）投标人</w:t>
      </w:r>
      <w:r>
        <w:rPr>
          <w:rFonts w:hint="eastAsia"/>
          <w:lang w:val="zh-CN"/>
        </w:rPr>
        <w:t>具有</w:t>
      </w:r>
      <w:r>
        <w:rPr>
          <w:rFonts w:hint="eastAsia"/>
        </w:rPr>
        <w:t>国家电力监管委员会颁发的承装(修、试)电力设施许可证四级及以上资质</w:t>
      </w:r>
      <w:r>
        <w:rPr>
          <w:rFonts w:hint="eastAsia"/>
          <w:lang w:val="zh-CN"/>
        </w:rPr>
        <w:t>（提供</w:t>
      </w:r>
      <w:r>
        <w:rPr>
          <w:rFonts w:hint="eastAsia"/>
        </w:rPr>
        <w:t>证书</w:t>
      </w:r>
      <w:r>
        <w:rPr>
          <w:rFonts w:hint="eastAsia"/>
          <w:lang w:val="zh-CN"/>
        </w:rPr>
        <w:t>复印件，加盖公章）。</w:t>
      </w:r>
    </w:p>
    <w:p w14:paraId="1D3C5E7C">
      <w:pPr>
        <w:pStyle w:val="25"/>
        <w:spacing w:line="480" w:lineRule="exact"/>
        <w:ind w:firstLine="0"/>
      </w:pPr>
      <w:r>
        <w:rPr>
          <w:rFonts w:hint="eastAsia" w:ascii="宋体" w:hAnsi="宋体" w:cs="宋体"/>
        </w:rPr>
        <w:t>4）投标单位须提前勘察现场并对维修内容进行确认签字，否则视为无投标资格。</w:t>
      </w:r>
    </w:p>
    <w:p w14:paraId="3AAFA372">
      <w:pPr>
        <w:pStyle w:val="4"/>
        <w:numPr>
          <w:ilvl w:val="2"/>
          <w:numId w:val="0"/>
        </w:numPr>
        <w:spacing w:line="480" w:lineRule="exact"/>
        <w:ind w:left="1687" w:hanging="1687" w:hangingChars="700"/>
        <w:rPr>
          <w:rFonts w:ascii="宋体" w:hAnsi="宋体" w:cs="宋体"/>
          <w:sz w:val="24"/>
        </w:rPr>
      </w:pPr>
      <w:r>
        <w:rPr>
          <w:rFonts w:hint="eastAsia" w:ascii="宋体" w:hAnsi="宋体" w:cs="宋体"/>
          <w:sz w:val="24"/>
        </w:rPr>
        <w:t>四、工程内容</w:t>
      </w:r>
    </w:p>
    <w:p w14:paraId="1D429E79">
      <w:pPr>
        <w:rPr>
          <w:rFonts w:ascii="宋体" w:hAnsi="宋体" w:cs="宋体"/>
        </w:rPr>
      </w:pPr>
      <w:r>
        <w:rPr>
          <w:rFonts w:hint="eastAsia" w:ascii="宋体" w:hAnsi="宋体" w:cs="宋体"/>
        </w:rPr>
        <w:t>1）更换模块数量：5台（4台：150kvar的SVG；1台：150A的APF）；</w:t>
      </w:r>
    </w:p>
    <w:p w14:paraId="16CBFE49">
      <w:pPr>
        <w:spacing w:line="480" w:lineRule="exact"/>
        <w:rPr>
          <w:rFonts w:ascii="宋体" w:hAnsi="宋体" w:cs="宋体"/>
        </w:rPr>
      </w:pPr>
      <w:r>
        <w:rPr>
          <w:rFonts w:hint="eastAsia" w:ascii="宋体" w:hAnsi="宋体" w:cs="宋体"/>
        </w:rPr>
        <w:t>2）负责模块安装调试及安装调试所需线缆及辅材等，包括：旧模块（归院方所有）拆除与新模块安装等，属交钥匙工程；</w:t>
      </w:r>
    </w:p>
    <w:p w14:paraId="4E292B2C">
      <w:pPr>
        <w:pStyle w:val="4"/>
        <w:numPr>
          <w:ilvl w:val="2"/>
          <w:numId w:val="0"/>
        </w:numPr>
        <w:spacing w:line="480" w:lineRule="exact"/>
        <w:ind w:left="1687" w:hanging="1687" w:hangingChars="700"/>
        <w:rPr>
          <w:rFonts w:ascii="宋体" w:hAnsi="宋体" w:cs="宋体"/>
          <w:sz w:val="24"/>
        </w:rPr>
      </w:pPr>
      <w:r>
        <w:rPr>
          <w:rFonts w:hint="eastAsia" w:ascii="宋体" w:hAnsi="宋体" w:cs="宋体"/>
          <w:sz w:val="24"/>
        </w:rPr>
        <w:t>五、技术参数要求</w:t>
      </w:r>
    </w:p>
    <w:p w14:paraId="4DE780B9">
      <w:pPr>
        <w:spacing w:line="360" w:lineRule="auto"/>
      </w:pPr>
      <w:r>
        <w:rPr>
          <w:rFonts w:hint="eastAsia"/>
        </w:rPr>
        <w:t>1.设备主要技术参数：</w:t>
      </w:r>
    </w:p>
    <w:p w14:paraId="40E8F63C">
      <w:pPr>
        <w:numPr>
          <w:ilvl w:val="0"/>
          <w:numId w:val="8"/>
        </w:numPr>
        <w:spacing w:line="480" w:lineRule="exact"/>
        <w:rPr>
          <w:rFonts w:ascii="宋体" w:hAnsi="宋体" w:cs="宋体"/>
        </w:rPr>
      </w:pPr>
      <w:bookmarkStart w:id="0" w:name="_Toc396381758"/>
      <w:r>
        <w:rPr>
          <w:rFonts w:hint="eastAsia" w:ascii="宋体" w:hAnsi="宋体" w:cs="宋体"/>
        </w:rPr>
        <w:t>工作电压：AC380V；</w:t>
      </w:r>
    </w:p>
    <w:p w14:paraId="22676DA8">
      <w:pPr>
        <w:numPr>
          <w:ilvl w:val="0"/>
          <w:numId w:val="8"/>
        </w:numPr>
        <w:spacing w:line="360" w:lineRule="auto"/>
      </w:pPr>
      <w:r>
        <w:rPr>
          <w:rFonts w:hint="eastAsia" w:ascii="宋体" w:hAnsi="宋体" w:cs="宋体"/>
        </w:rPr>
        <w:t>工作频率：50Hz；</w:t>
      </w:r>
    </w:p>
    <w:p w14:paraId="4A483589">
      <w:pPr>
        <w:numPr>
          <w:ilvl w:val="0"/>
          <w:numId w:val="9"/>
        </w:numPr>
        <w:spacing w:line="480" w:lineRule="exact"/>
        <w:rPr>
          <w:rFonts w:ascii="宋体" w:hAnsi="宋体" w:cs="宋体"/>
        </w:rPr>
      </w:pPr>
      <w:r>
        <w:rPr>
          <w:rFonts w:hint="eastAsia" w:ascii="宋体" w:hAnsi="宋体" w:cs="宋体"/>
        </w:rPr>
        <w:t>谐波补偿次数：2～51次；</w:t>
      </w:r>
    </w:p>
    <w:p w14:paraId="680EF580">
      <w:pPr>
        <w:numPr>
          <w:ilvl w:val="0"/>
          <w:numId w:val="9"/>
        </w:numPr>
        <w:spacing w:line="480" w:lineRule="exact"/>
        <w:rPr>
          <w:rFonts w:ascii="宋体" w:hAnsi="宋体" w:cs="宋体"/>
        </w:rPr>
      </w:pPr>
      <w:r>
        <w:rPr>
          <w:rFonts w:hint="eastAsia" w:ascii="宋体" w:hAnsi="宋体" w:cs="宋体"/>
        </w:rPr>
        <w:t>全响应时间：＜2ms；瞬时响应时间：≤50us，需提供第三方报告；</w:t>
      </w:r>
    </w:p>
    <w:p w14:paraId="46BBBBD4">
      <w:pPr>
        <w:numPr>
          <w:ilvl w:val="0"/>
          <w:numId w:val="9"/>
        </w:numPr>
        <w:spacing w:line="480" w:lineRule="exact"/>
        <w:rPr>
          <w:rFonts w:ascii="宋体" w:hAnsi="宋体" w:cs="宋体"/>
        </w:rPr>
      </w:pPr>
      <w:r>
        <w:rPr>
          <w:rFonts w:hint="eastAsia" w:ascii="宋体" w:hAnsi="宋体" w:cs="宋体"/>
        </w:rPr>
        <w:t>设备容量范围内，功率因数≥0.9；</w:t>
      </w:r>
    </w:p>
    <w:p w14:paraId="4805801D">
      <w:pPr>
        <w:numPr>
          <w:ilvl w:val="0"/>
          <w:numId w:val="9"/>
        </w:numPr>
        <w:spacing w:line="480" w:lineRule="exact"/>
        <w:rPr>
          <w:rFonts w:ascii="宋体" w:hAnsi="宋体" w:cs="宋体"/>
        </w:rPr>
      </w:pPr>
      <w:r>
        <w:rPr>
          <w:rFonts w:hint="eastAsia" w:ascii="宋体" w:hAnsi="宋体" w:cs="宋体"/>
        </w:rPr>
        <w:t>容量扩展：APF和SVG装置可通过并联方式实现容量扩展，且扩展装置功能因兼具谐波治理和无功补偿;</w:t>
      </w:r>
    </w:p>
    <w:p w14:paraId="5CFFA7BF">
      <w:pPr>
        <w:spacing w:line="480" w:lineRule="exact"/>
        <w:rPr>
          <w:rFonts w:ascii="宋体" w:hAnsi="宋体" w:cs="宋体"/>
        </w:rPr>
      </w:pPr>
      <w:r>
        <w:rPr>
          <w:rFonts w:hint="eastAsia" w:ascii="宋体" w:hAnsi="宋体" w:cs="宋体"/>
        </w:rPr>
        <w:t>7）防护等级：控制仓做防护设计，需提供第三方IP6X的防护等级报告。</w:t>
      </w:r>
      <w:bookmarkEnd w:id="0"/>
    </w:p>
    <w:p w14:paraId="4D5F1FE1">
      <w:pPr>
        <w:spacing w:line="480" w:lineRule="exact"/>
        <w:rPr>
          <w:rFonts w:ascii="宋体" w:hAnsi="宋体" w:cs="宋体"/>
        </w:rPr>
      </w:pPr>
      <w:r>
        <w:rPr>
          <w:rFonts w:hint="eastAsia" w:ascii="宋体" w:hAnsi="宋体" w:cs="宋体"/>
        </w:rPr>
        <w:t>2.技术性能要求：</w:t>
      </w:r>
    </w:p>
    <w:p w14:paraId="54C32649">
      <w:pPr>
        <w:spacing w:line="360" w:lineRule="auto"/>
      </w:pPr>
      <w:r>
        <w:rPr>
          <w:rFonts w:hint="eastAsia"/>
        </w:rPr>
        <w:t>1）APF有源电力滤波装置和SVG静止无功发生器为封闭式户内成套设备，其功能为用于动态抑制谐波，并进行无功补偿，它能对大小和频率都变化的谐波以及变化的无功进行补偿。</w:t>
      </w:r>
    </w:p>
    <w:p w14:paraId="21CBB611">
      <w:pPr>
        <w:spacing w:line="360" w:lineRule="auto"/>
      </w:pPr>
      <w:r>
        <w:rPr>
          <w:rFonts w:hint="eastAsia"/>
        </w:rPr>
        <w:t>2）具备不少于8英寸的人机交互界面，可进行启动、终止和重启滤波器；测量、分析、记录参数；对滤波器进行设定；监测滤波器的负荷和故障记录；具有故障记录功能。</w:t>
      </w:r>
    </w:p>
    <w:p w14:paraId="3B42999D">
      <w:pPr>
        <w:pStyle w:val="3"/>
        <w:keepNext w:val="0"/>
        <w:keepLines w:val="0"/>
        <w:numPr>
          <w:ilvl w:val="1"/>
          <w:numId w:val="0"/>
        </w:numPr>
        <w:snapToGrid w:val="0"/>
        <w:spacing w:line="480" w:lineRule="exact"/>
        <w:jc w:val="left"/>
        <w:rPr>
          <w:rFonts w:ascii="宋体" w:hAnsi="宋体" w:eastAsia="宋体" w:cs="宋体"/>
          <w:sz w:val="24"/>
        </w:rPr>
      </w:pPr>
      <w:r>
        <w:rPr>
          <w:rFonts w:hint="eastAsia" w:ascii="宋体" w:hAnsi="宋体" w:eastAsia="宋体" w:cs="宋体"/>
          <w:sz w:val="24"/>
        </w:rPr>
        <w:t>3）APF有源电力滤波器规格:</w:t>
      </w:r>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97"/>
        <w:gridCol w:w="4921"/>
      </w:tblGrid>
      <w:tr w14:paraId="4C89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48B52AB3">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5ED4C1A">
            <w:pPr>
              <w:spacing w:line="480" w:lineRule="exact"/>
              <w:rPr>
                <w:rFonts w:ascii="宋体" w:hAnsi="宋体" w:cs="宋体"/>
              </w:rPr>
            </w:pPr>
            <w:r>
              <w:rPr>
                <w:rFonts w:hint="eastAsia" w:ascii="宋体" w:hAnsi="宋体" w:cs="宋体"/>
              </w:rPr>
              <w:t>型号</w:t>
            </w:r>
          </w:p>
        </w:tc>
        <w:tc>
          <w:tcPr>
            <w:tcW w:w="4921" w:type="dxa"/>
            <w:tcBorders>
              <w:top w:val="single" w:color="auto" w:sz="4" w:space="0"/>
              <w:left w:val="single" w:color="auto" w:sz="4" w:space="0"/>
              <w:bottom w:val="single" w:color="auto" w:sz="4" w:space="0"/>
              <w:right w:val="single" w:color="auto" w:sz="4" w:space="0"/>
            </w:tcBorders>
            <w:vAlign w:val="center"/>
          </w:tcPr>
          <w:p w14:paraId="429EF244">
            <w:pPr>
              <w:spacing w:line="480" w:lineRule="exact"/>
              <w:rPr>
                <w:rFonts w:ascii="宋体" w:hAnsi="宋体" w:cs="宋体"/>
              </w:rPr>
            </w:pPr>
            <w:r>
              <w:rPr>
                <w:rFonts w:hint="eastAsia" w:ascii="宋体" w:hAnsi="宋体" w:cs="宋体"/>
              </w:rPr>
              <w:t>APF</w:t>
            </w:r>
          </w:p>
        </w:tc>
      </w:tr>
      <w:tr w14:paraId="47EE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76F9CDA7">
            <w:pPr>
              <w:spacing w:line="480" w:lineRule="exact"/>
              <w:rPr>
                <w:rFonts w:ascii="宋体" w:hAnsi="宋体" w:cs="宋体"/>
              </w:rPr>
            </w:pPr>
            <w:r>
              <w:rPr>
                <w:rFonts w:hint="eastAsia" w:ascii="宋体" w:hAnsi="宋体" w:cs="宋体"/>
              </w:rPr>
              <w:t>系统参数</w:t>
            </w:r>
          </w:p>
        </w:tc>
        <w:tc>
          <w:tcPr>
            <w:tcW w:w="1997" w:type="dxa"/>
            <w:tcBorders>
              <w:top w:val="single" w:color="auto" w:sz="4" w:space="0"/>
              <w:left w:val="single" w:color="auto" w:sz="4" w:space="0"/>
              <w:bottom w:val="single" w:color="auto" w:sz="4" w:space="0"/>
              <w:right w:val="single" w:color="auto" w:sz="4" w:space="0"/>
            </w:tcBorders>
            <w:vAlign w:val="center"/>
          </w:tcPr>
          <w:p w14:paraId="2D183AB9">
            <w:pPr>
              <w:spacing w:line="480" w:lineRule="exact"/>
              <w:rPr>
                <w:rFonts w:ascii="宋体" w:hAnsi="宋体" w:cs="宋体"/>
              </w:rPr>
            </w:pPr>
            <w:r>
              <w:rPr>
                <w:rFonts w:hint="eastAsia" w:ascii="宋体" w:hAnsi="宋体" w:cs="宋体"/>
              </w:rPr>
              <w:t>额定电压(kV)</w:t>
            </w:r>
          </w:p>
        </w:tc>
        <w:tc>
          <w:tcPr>
            <w:tcW w:w="4921" w:type="dxa"/>
            <w:tcBorders>
              <w:top w:val="single" w:color="auto" w:sz="4" w:space="0"/>
              <w:left w:val="single" w:color="auto" w:sz="4" w:space="0"/>
              <w:bottom w:val="single" w:color="auto" w:sz="4" w:space="0"/>
              <w:right w:val="single" w:color="auto" w:sz="4" w:space="0"/>
            </w:tcBorders>
            <w:vAlign w:val="center"/>
          </w:tcPr>
          <w:p w14:paraId="587252CA">
            <w:pPr>
              <w:spacing w:line="480" w:lineRule="exact"/>
              <w:rPr>
                <w:rFonts w:ascii="宋体" w:hAnsi="宋体" w:cs="宋体"/>
              </w:rPr>
            </w:pPr>
            <w:r>
              <w:rPr>
                <w:rFonts w:hint="eastAsia" w:ascii="宋体" w:hAnsi="宋体" w:cs="宋体"/>
              </w:rPr>
              <w:t>AC 400V（-40%~+20%）</w:t>
            </w:r>
          </w:p>
        </w:tc>
      </w:tr>
      <w:tr w14:paraId="4712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4A889ACB">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4F496533">
            <w:pPr>
              <w:spacing w:line="480" w:lineRule="exact"/>
              <w:rPr>
                <w:rFonts w:ascii="宋体" w:hAnsi="宋体" w:cs="宋体"/>
              </w:rPr>
            </w:pPr>
            <w:r>
              <w:rPr>
                <w:rFonts w:hint="eastAsia" w:ascii="宋体" w:hAnsi="宋体" w:cs="宋体"/>
              </w:rPr>
              <w:t>电网频率(Hz)</w:t>
            </w:r>
          </w:p>
        </w:tc>
        <w:tc>
          <w:tcPr>
            <w:tcW w:w="4921" w:type="dxa"/>
            <w:tcBorders>
              <w:top w:val="single" w:color="auto" w:sz="4" w:space="0"/>
              <w:left w:val="single" w:color="auto" w:sz="4" w:space="0"/>
              <w:bottom w:val="single" w:color="auto" w:sz="4" w:space="0"/>
              <w:right w:val="single" w:color="auto" w:sz="4" w:space="0"/>
            </w:tcBorders>
            <w:vAlign w:val="center"/>
          </w:tcPr>
          <w:p w14:paraId="653D60F5">
            <w:pPr>
              <w:spacing w:line="480" w:lineRule="exact"/>
              <w:rPr>
                <w:rFonts w:ascii="宋体" w:hAnsi="宋体" w:cs="宋体"/>
              </w:rPr>
            </w:pPr>
            <w:r>
              <w:rPr>
                <w:rFonts w:hint="eastAsia" w:ascii="宋体" w:hAnsi="宋体" w:cs="宋体"/>
              </w:rPr>
              <w:t>50Hz （±10%）</w:t>
            </w:r>
          </w:p>
        </w:tc>
      </w:tr>
      <w:tr w14:paraId="27C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60C64C3A">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C5A7C9A">
            <w:pPr>
              <w:spacing w:line="480" w:lineRule="exact"/>
              <w:rPr>
                <w:rFonts w:ascii="宋体" w:hAnsi="宋体" w:cs="宋体"/>
              </w:rPr>
            </w:pPr>
            <w:r>
              <w:rPr>
                <w:rFonts w:hint="eastAsia" w:ascii="宋体" w:hAnsi="宋体" w:cs="宋体"/>
              </w:rPr>
              <w:t>网络结构</w:t>
            </w:r>
          </w:p>
        </w:tc>
        <w:tc>
          <w:tcPr>
            <w:tcW w:w="4921" w:type="dxa"/>
            <w:tcBorders>
              <w:top w:val="single" w:color="auto" w:sz="4" w:space="0"/>
              <w:left w:val="single" w:color="auto" w:sz="4" w:space="0"/>
              <w:bottom w:val="single" w:color="auto" w:sz="4" w:space="0"/>
              <w:right w:val="single" w:color="auto" w:sz="4" w:space="0"/>
            </w:tcBorders>
            <w:vAlign w:val="center"/>
          </w:tcPr>
          <w:p w14:paraId="1BE90922">
            <w:pPr>
              <w:spacing w:line="480" w:lineRule="exact"/>
              <w:rPr>
                <w:rFonts w:ascii="宋体" w:hAnsi="宋体" w:cs="宋体"/>
              </w:rPr>
            </w:pPr>
            <w:r>
              <w:rPr>
                <w:rFonts w:hint="eastAsia" w:ascii="宋体" w:hAnsi="宋体" w:cs="宋体"/>
              </w:rPr>
              <w:t>三相四线制</w:t>
            </w:r>
          </w:p>
        </w:tc>
      </w:tr>
      <w:tr w14:paraId="4DA5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B50FEF3">
            <w:pPr>
              <w:spacing w:line="480" w:lineRule="exact"/>
              <w:rPr>
                <w:rFonts w:ascii="宋体" w:hAnsi="宋体" w:cs="宋体"/>
              </w:rPr>
            </w:pPr>
            <w:r>
              <w:rPr>
                <w:rFonts w:hint="eastAsia" w:ascii="宋体" w:hAnsi="宋体" w:cs="宋体"/>
              </w:rPr>
              <w:t>性能指标</w:t>
            </w:r>
          </w:p>
        </w:tc>
        <w:tc>
          <w:tcPr>
            <w:tcW w:w="1997" w:type="dxa"/>
            <w:tcBorders>
              <w:top w:val="single" w:color="auto" w:sz="4" w:space="0"/>
              <w:left w:val="single" w:color="auto" w:sz="4" w:space="0"/>
              <w:right w:val="single" w:color="auto" w:sz="4" w:space="0"/>
            </w:tcBorders>
            <w:vAlign w:val="center"/>
          </w:tcPr>
          <w:p w14:paraId="687E8979">
            <w:pPr>
              <w:spacing w:line="480" w:lineRule="exact"/>
              <w:rPr>
                <w:rFonts w:ascii="宋体" w:hAnsi="宋体" w:cs="宋体"/>
              </w:rPr>
            </w:pPr>
            <w:r>
              <w:rPr>
                <w:rFonts w:hint="eastAsia" w:ascii="宋体" w:hAnsi="宋体" w:cs="宋体"/>
              </w:rPr>
              <w:t>谐波补偿次数</w:t>
            </w:r>
          </w:p>
        </w:tc>
        <w:tc>
          <w:tcPr>
            <w:tcW w:w="4921" w:type="dxa"/>
            <w:tcBorders>
              <w:top w:val="single" w:color="auto" w:sz="4" w:space="0"/>
              <w:left w:val="single" w:color="auto" w:sz="4" w:space="0"/>
              <w:bottom w:val="single" w:color="auto" w:sz="4" w:space="0"/>
              <w:right w:val="single" w:color="auto" w:sz="4" w:space="0"/>
            </w:tcBorders>
            <w:vAlign w:val="center"/>
          </w:tcPr>
          <w:p w14:paraId="2B6CE397">
            <w:pPr>
              <w:spacing w:line="480" w:lineRule="exact"/>
              <w:rPr>
                <w:rFonts w:ascii="宋体" w:hAnsi="宋体" w:cs="宋体"/>
              </w:rPr>
            </w:pPr>
            <w:r>
              <w:rPr>
                <w:rFonts w:hint="eastAsia" w:ascii="宋体" w:hAnsi="宋体" w:cs="宋体"/>
              </w:rPr>
              <w:t>2-51次</w:t>
            </w:r>
          </w:p>
        </w:tc>
      </w:tr>
      <w:tr w14:paraId="2791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76DFFE1D">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49539A6B">
            <w:pPr>
              <w:spacing w:line="480" w:lineRule="exact"/>
              <w:rPr>
                <w:rFonts w:ascii="宋体" w:hAnsi="宋体" w:cs="宋体"/>
              </w:rPr>
            </w:pPr>
            <w:r>
              <w:rPr>
                <w:rFonts w:hint="eastAsia" w:ascii="宋体" w:hAnsi="宋体" w:cs="宋体"/>
              </w:rPr>
              <w:t>冷却方式</w:t>
            </w:r>
          </w:p>
        </w:tc>
        <w:tc>
          <w:tcPr>
            <w:tcW w:w="4921" w:type="dxa"/>
            <w:tcBorders>
              <w:top w:val="single" w:color="auto" w:sz="4" w:space="0"/>
              <w:left w:val="single" w:color="auto" w:sz="4" w:space="0"/>
              <w:bottom w:val="single" w:color="auto" w:sz="4" w:space="0"/>
              <w:right w:val="single" w:color="auto" w:sz="4" w:space="0"/>
            </w:tcBorders>
            <w:vAlign w:val="center"/>
          </w:tcPr>
          <w:p w14:paraId="1302EDE5">
            <w:pPr>
              <w:spacing w:line="480" w:lineRule="exact"/>
              <w:rPr>
                <w:rFonts w:ascii="宋体" w:hAnsi="宋体" w:cs="宋体"/>
              </w:rPr>
            </w:pPr>
            <w:r>
              <w:rPr>
                <w:rFonts w:hint="eastAsia" w:ascii="宋体" w:hAnsi="宋体" w:cs="宋体"/>
              </w:rPr>
              <w:t>智能风冷</w:t>
            </w:r>
          </w:p>
        </w:tc>
      </w:tr>
      <w:tr w14:paraId="1DED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0E41731">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B6D60EA">
            <w:pPr>
              <w:spacing w:line="480" w:lineRule="exact"/>
              <w:rPr>
                <w:rFonts w:ascii="宋体" w:hAnsi="宋体" w:cs="宋体"/>
              </w:rPr>
            </w:pPr>
            <w:r>
              <w:rPr>
                <w:rFonts w:hint="eastAsia" w:ascii="宋体" w:hAnsi="宋体" w:cs="宋体"/>
              </w:rPr>
              <w:t>噪声指标</w:t>
            </w:r>
          </w:p>
        </w:tc>
        <w:tc>
          <w:tcPr>
            <w:tcW w:w="4921" w:type="dxa"/>
            <w:tcBorders>
              <w:top w:val="single" w:color="auto" w:sz="4" w:space="0"/>
              <w:left w:val="single" w:color="auto" w:sz="4" w:space="0"/>
              <w:bottom w:val="single" w:color="auto" w:sz="4" w:space="0"/>
              <w:right w:val="single" w:color="auto" w:sz="4" w:space="0"/>
            </w:tcBorders>
            <w:vAlign w:val="center"/>
          </w:tcPr>
          <w:p w14:paraId="45D35580">
            <w:pPr>
              <w:spacing w:line="480" w:lineRule="exact"/>
              <w:rPr>
                <w:rFonts w:ascii="宋体" w:hAnsi="宋体" w:cs="宋体"/>
              </w:rPr>
            </w:pPr>
            <w:r>
              <w:rPr>
                <w:rFonts w:hint="eastAsia" w:ascii="宋体" w:hAnsi="宋体" w:cs="宋体"/>
              </w:rPr>
              <w:t>＜65dB</w:t>
            </w:r>
          </w:p>
        </w:tc>
      </w:tr>
      <w:tr w14:paraId="4DA9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4802CD7">
            <w:pPr>
              <w:spacing w:line="480" w:lineRule="exact"/>
              <w:rPr>
                <w:rFonts w:ascii="宋体" w:hAnsi="宋体" w:cs="宋体"/>
              </w:rPr>
            </w:pPr>
            <w:r>
              <w:rPr>
                <w:rFonts w:hint="eastAsia" w:ascii="宋体" w:hAnsi="宋体" w:cs="宋体"/>
              </w:rPr>
              <w:t>环境要求</w:t>
            </w:r>
          </w:p>
        </w:tc>
        <w:tc>
          <w:tcPr>
            <w:tcW w:w="1997" w:type="dxa"/>
            <w:tcBorders>
              <w:top w:val="single" w:color="auto" w:sz="4" w:space="0"/>
              <w:left w:val="single" w:color="auto" w:sz="4" w:space="0"/>
              <w:bottom w:val="single" w:color="auto" w:sz="4" w:space="0"/>
              <w:right w:val="single" w:color="auto" w:sz="4" w:space="0"/>
            </w:tcBorders>
            <w:vAlign w:val="center"/>
          </w:tcPr>
          <w:p w14:paraId="3DD8C9B1">
            <w:pPr>
              <w:spacing w:line="480" w:lineRule="exact"/>
              <w:rPr>
                <w:rFonts w:ascii="宋体" w:hAnsi="宋体" w:cs="宋体"/>
              </w:rPr>
            </w:pPr>
            <w:r>
              <w:rPr>
                <w:rFonts w:hint="eastAsia" w:ascii="宋体" w:hAnsi="宋体" w:cs="宋体"/>
              </w:rPr>
              <w:t>海拔高度</w:t>
            </w:r>
          </w:p>
        </w:tc>
        <w:tc>
          <w:tcPr>
            <w:tcW w:w="4921" w:type="dxa"/>
            <w:tcBorders>
              <w:top w:val="single" w:color="auto" w:sz="4" w:space="0"/>
              <w:left w:val="single" w:color="auto" w:sz="4" w:space="0"/>
              <w:bottom w:val="single" w:color="auto" w:sz="4" w:space="0"/>
              <w:right w:val="single" w:color="auto" w:sz="4" w:space="0"/>
            </w:tcBorders>
            <w:vAlign w:val="center"/>
          </w:tcPr>
          <w:p w14:paraId="7CF29370">
            <w:pPr>
              <w:spacing w:line="480" w:lineRule="exact"/>
              <w:rPr>
                <w:rFonts w:ascii="宋体" w:hAnsi="宋体" w:cs="宋体"/>
              </w:rPr>
            </w:pPr>
            <w:r>
              <w:rPr>
                <w:rFonts w:hint="eastAsia" w:ascii="宋体" w:hAnsi="宋体" w:cs="宋体"/>
              </w:rPr>
              <w:t>＜2000m，超过2000m需定制</w:t>
            </w:r>
          </w:p>
        </w:tc>
      </w:tr>
      <w:tr w14:paraId="25E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B21B83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00A31A33">
            <w:pPr>
              <w:spacing w:line="480" w:lineRule="exact"/>
              <w:rPr>
                <w:rFonts w:ascii="宋体" w:hAnsi="宋体" w:cs="宋体"/>
              </w:rPr>
            </w:pPr>
            <w:r>
              <w:rPr>
                <w:rFonts w:hint="eastAsia" w:ascii="宋体" w:hAnsi="宋体" w:cs="宋体"/>
              </w:rPr>
              <w:t>运行温度</w:t>
            </w:r>
          </w:p>
        </w:tc>
        <w:tc>
          <w:tcPr>
            <w:tcW w:w="4921" w:type="dxa"/>
            <w:tcBorders>
              <w:top w:val="single" w:color="auto" w:sz="4" w:space="0"/>
              <w:left w:val="single" w:color="auto" w:sz="4" w:space="0"/>
              <w:bottom w:val="single" w:color="auto" w:sz="4" w:space="0"/>
              <w:right w:val="single" w:color="auto" w:sz="4" w:space="0"/>
            </w:tcBorders>
            <w:vAlign w:val="center"/>
          </w:tcPr>
          <w:p w14:paraId="0C29F23A">
            <w:pPr>
              <w:spacing w:line="480" w:lineRule="exact"/>
              <w:rPr>
                <w:rFonts w:ascii="宋体" w:hAnsi="宋体" w:cs="宋体"/>
              </w:rPr>
            </w:pPr>
            <w:r>
              <w:rPr>
                <w:rFonts w:hint="eastAsia" w:ascii="宋体" w:hAnsi="宋体" w:cs="宋体"/>
              </w:rPr>
              <w:t>-10~40℃</w:t>
            </w:r>
          </w:p>
        </w:tc>
      </w:tr>
      <w:tr w14:paraId="6C56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62C9DF1B">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11C2123E">
            <w:pPr>
              <w:spacing w:line="480" w:lineRule="exact"/>
              <w:rPr>
                <w:rFonts w:ascii="宋体" w:hAnsi="宋体" w:cs="宋体"/>
              </w:rPr>
            </w:pPr>
            <w:r>
              <w:rPr>
                <w:rFonts w:hint="eastAsia" w:ascii="宋体" w:hAnsi="宋体" w:cs="宋体"/>
              </w:rPr>
              <w:t>相对湿度</w:t>
            </w:r>
          </w:p>
        </w:tc>
        <w:tc>
          <w:tcPr>
            <w:tcW w:w="4921" w:type="dxa"/>
            <w:tcBorders>
              <w:top w:val="single" w:color="auto" w:sz="4" w:space="0"/>
              <w:left w:val="single" w:color="auto" w:sz="4" w:space="0"/>
              <w:bottom w:val="single" w:color="auto" w:sz="4" w:space="0"/>
              <w:right w:val="single" w:color="auto" w:sz="4" w:space="0"/>
            </w:tcBorders>
            <w:vAlign w:val="center"/>
          </w:tcPr>
          <w:p w14:paraId="5FD99458">
            <w:pPr>
              <w:spacing w:line="480" w:lineRule="exact"/>
              <w:rPr>
                <w:rFonts w:ascii="宋体" w:hAnsi="宋体" w:cs="宋体"/>
              </w:rPr>
            </w:pPr>
            <w:r>
              <w:rPr>
                <w:rFonts w:hint="eastAsia" w:ascii="宋体" w:hAnsi="宋体" w:cs="宋体"/>
              </w:rPr>
              <w:t>日平均＜95%(25℃)，无凝霜</w:t>
            </w:r>
          </w:p>
          <w:p w14:paraId="7E4A53A9">
            <w:pPr>
              <w:spacing w:line="480" w:lineRule="exact"/>
              <w:rPr>
                <w:rFonts w:ascii="宋体" w:hAnsi="宋体" w:cs="宋体"/>
              </w:rPr>
            </w:pPr>
            <w:r>
              <w:rPr>
                <w:rFonts w:hint="eastAsia" w:ascii="宋体" w:hAnsi="宋体" w:cs="宋体"/>
              </w:rPr>
              <w:t>月平均＜90%(25℃)，无凝霜</w:t>
            </w:r>
          </w:p>
        </w:tc>
      </w:tr>
    </w:tbl>
    <w:p w14:paraId="51F67851">
      <w:pPr>
        <w:autoSpaceDE w:val="0"/>
        <w:autoSpaceDN w:val="0"/>
        <w:adjustRightInd w:val="0"/>
        <w:snapToGrid w:val="0"/>
        <w:spacing w:line="480" w:lineRule="exact"/>
        <w:ind w:firstLine="241" w:firstLineChars="100"/>
        <w:jc w:val="left"/>
        <w:rPr>
          <w:rFonts w:ascii="宋体" w:hAnsi="宋体" w:cs="宋体"/>
          <w:b/>
          <w:bCs/>
        </w:rPr>
      </w:pPr>
      <w:r>
        <w:rPr>
          <w:rFonts w:hint="eastAsia" w:ascii="宋体" w:hAnsi="宋体" w:cs="宋体"/>
          <w:b/>
          <w:bCs/>
        </w:rPr>
        <w:t>SVG静止无功发生器规格:</w:t>
      </w:r>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97"/>
        <w:gridCol w:w="4921"/>
      </w:tblGrid>
      <w:tr w14:paraId="148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6060507">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65D91BB1">
            <w:pPr>
              <w:spacing w:line="480" w:lineRule="exact"/>
              <w:rPr>
                <w:rFonts w:ascii="宋体" w:hAnsi="宋体" w:cs="宋体"/>
              </w:rPr>
            </w:pPr>
            <w:r>
              <w:rPr>
                <w:rFonts w:hint="eastAsia" w:ascii="宋体" w:hAnsi="宋体" w:cs="宋体"/>
              </w:rPr>
              <w:t>型号</w:t>
            </w:r>
          </w:p>
        </w:tc>
        <w:tc>
          <w:tcPr>
            <w:tcW w:w="4921" w:type="dxa"/>
            <w:tcBorders>
              <w:top w:val="single" w:color="auto" w:sz="4" w:space="0"/>
              <w:left w:val="single" w:color="auto" w:sz="4" w:space="0"/>
              <w:bottom w:val="single" w:color="auto" w:sz="4" w:space="0"/>
              <w:right w:val="single" w:color="auto" w:sz="4" w:space="0"/>
            </w:tcBorders>
            <w:vAlign w:val="center"/>
          </w:tcPr>
          <w:p w14:paraId="56A47176">
            <w:pPr>
              <w:spacing w:line="480" w:lineRule="exact"/>
              <w:rPr>
                <w:rFonts w:ascii="宋体" w:hAnsi="宋体" w:cs="宋体"/>
              </w:rPr>
            </w:pPr>
            <w:r>
              <w:rPr>
                <w:rFonts w:hint="eastAsia" w:ascii="宋体" w:hAnsi="宋体" w:cs="宋体"/>
              </w:rPr>
              <w:t>SVG</w:t>
            </w:r>
          </w:p>
        </w:tc>
      </w:tr>
      <w:tr w14:paraId="54AF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5977793F">
            <w:pPr>
              <w:spacing w:line="480" w:lineRule="exact"/>
              <w:rPr>
                <w:rFonts w:ascii="宋体" w:hAnsi="宋体" w:cs="宋体"/>
              </w:rPr>
            </w:pPr>
            <w:r>
              <w:rPr>
                <w:rFonts w:hint="eastAsia" w:ascii="宋体" w:hAnsi="宋体" w:cs="宋体"/>
              </w:rPr>
              <w:t>系统参数</w:t>
            </w:r>
          </w:p>
        </w:tc>
        <w:tc>
          <w:tcPr>
            <w:tcW w:w="1997" w:type="dxa"/>
            <w:tcBorders>
              <w:top w:val="single" w:color="auto" w:sz="4" w:space="0"/>
              <w:left w:val="single" w:color="auto" w:sz="4" w:space="0"/>
              <w:bottom w:val="single" w:color="auto" w:sz="4" w:space="0"/>
              <w:right w:val="single" w:color="auto" w:sz="4" w:space="0"/>
            </w:tcBorders>
            <w:vAlign w:val="center"/>
          </w:tcPr>
          <w:p w14:paraId="49EFBC19">
            <w:pPr>
              <w:spacing w:line="480" w:lineRule="exact"/>
              <w:rPr>
                <w:rFonts w:ascii="宋体" w:hAnsi="宋体" w:cs="宋体"/>
              </w:rPr>
            </w:pPr>
            <w:r>
              <w:rPr>
                <w:rFonts w:hint="eastAsia" w:ascii="宋体" w:hAnsi="宋体" w:cs="宋体"/>
              </w:rPr>
              <w:t>额定电压(kV)</w:t>
            </w:r>
          </w:p>
        </w:tc>
        <w:tc>
          <w:tcPr>
            <w:tcW w:w="4921" w:type="dxa"/>
            <w:tcBorders>
              <w:top w:val="single" w:color="auto" w:sz="4" w:space="0"/>
              <w:left w:val="single" w:color="auto" w:sz="4" w:space="0"/>
              <w:bottom w:val="single" w:color="auto" w:sz="4" w:space="0"/>
              <w:right w:val="single" w:color="auto" w:sz="4" w:space="0"/>
            </w:tcBorders>
            <w:vAlign w:val="center"/>
          </w:tcPr>
          <w:p w14:paraId="393B8C4F">
            <w:pPr>
              <w:spacing w:line="480" w:lineRule="exact"/>
              <w:rPr>
                <w:rFonts w:ascii="宋体" w:hAnsi="宋体" w:cs="宋体"/>
              </w:rPr>
            </w:pPr>
            <w:r>
              <w:rPr>
                <w:rFonts w:hint="eastAsia" w:ascii="宋体" w:hAnsi="宋体" w:cs="宋体"/>
              </w:rPr>
              <w:t>AC 400V（-40%~+20%）</w:t>
            </w:r>
          </w:p>
        </w:tc>
      </w:tr>
      <w:tr w14:paraId="3F58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449388F4">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47A832CF">
            <w:pPr>
              <w:spacing w:line="480" w:lineRule="exact"/>
              <w:rPr>
                <w:rFonts w:ascii="宋体" w:hAnsi="宋体" w:cs="宋体"/>
              </w:rPr>
            </w:pPr>
            <w:r>
              <w:rPr>
                <w:rFonts w:hint="eastAsia" w:ascii="宋体" w:hAnsi="宋体" w:cs="宋体"/>
              </w:rPr>
              <w:t>电网频率(Hz)</w:t>
            </w:r>
          </w:p>
        </w:tc>
        <w:tc>
          <w:tcPr>
            <w:tcW w:w="4921" w:type="dxa"/>
            <w:tcBorders>
              <w:top w:val="single" w:color="auto" w:sz="4" w:space="0"/>
              <w:left w:val="single" w:color="auto" w:sz="4" w:space="0"/>
              <w:bottom w:val="single" w:color="auto" w:sz="4" w:space="0"/>
              <w:right w:val="single" w:color="auto" w:sz="4" w:space="0"/>
            </w:tcBorders>
            <w:vAlign w:val="center"/>
          </w:tcPr>
          <w:p w14:paraId="18633F42">
            <w:pPr>
              <w:spacing w:line="480" w:lineRule="exact"/>
              <w:rPr>
                <w:rFonts w:ascii="宋体" w:hAnsi="宋体" w:cs="宋体"/>
              </w:rPr>
            </w:pPr>
            <w:r>
              <w:rPr>
                <w:rFonts w:hint="eastAsia" w:ascii="宋体" w:hAnsi="宋体" w:cs="宋体"/>
              </w:rPr>
              <w:t>50Hz （±10%）</w:t>
            </w:r>
          </w:p>
        </w:tc>
      </w:tr>
      <w:tr w14:paraId="03F6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24BD448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195357B9">
            <w:pPr>
              <w:spacing w:line="480" w:lineRule="exact"/>
              <w:rPr>
                <w:rFonts w:ascii="宋体" w:hAnsi="宋体" w:cs="宋体"/>
              </w:rPr>
            </w:pPr>
            <w:r>
              <w:rPr>
                <w:rFonts w:hint="eastAsia" w:ascii="宋体" w:hAnsi="宋体" w:cs="宋体"/>
              </w:rPr>
              <w:t>网络结构</w:t>
            </w:r>
          </w:p>
        </w:tc>
        <w:tc>
          <w:tcPr>
            <w:tcW w:w="4921" w:type="dxa"/>
            <w:tcBorders>
              <w:top w:val="single" w:color="auto" w:sz="4" w:space="0"/>
              <w:left w:val="single" w:color="auto" w:sz="4" w:space="0"/>
              <w:bottom w:val="single" w:color="auto" w:sz="4" w:space="0"/>
              <w:right w:val="single" w:color="auto" w:sz="4" w:space="0"/>
            </w:tcBorders>
            <w:vAlign w:val="center"/>
          </w:tcPr>
          <w:p w14:paraId="5399FCAC">
            <w:pPr>
              <w:spacing w:line="480" w:lineRule="exact"/>
              <w:rPr>
                <w:rFonts w:ascii="宋体" w:hAnsi="宋体" w:cs="宋体"/>
              </w:rPr>
            </w:pPr>
            <w:r>
              <w:rPr>
                <w:rFonts w:hint="eastAsia" w:ascii="宋体" w:hAnsi="宋体" w:cs="宋体"/>
              </w:rPr>
              <w:t>三相四线制</w:t>
            </w:r>
          </w:p>
        </w:tc>
      </w:tr>
      <w:tr w14:paraId="1E86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2BA493DB">
            <w:pPr>
              <w:spacing w:line="480" w:lineRule="exact"/>
              <w:rPr>
                <w:rFonts w:ascii="宋体" w:hAnsi="宋体" w:cs="宋体"/>
              </w:rPr>
            </w:pPr>
            <w:r>
              <w:rPr>
                <w:rFonts w:hint="eastAsia" w:ascii="宋体" w:hAnsi="宋体" w:cs="宋体"/>
              </w:rPr>
              <w:t>性能指标</w:t>
            </w:r>
          </w:p>
        </w:tc>
        <w:tc>
          <w:tcPr>
            <w:tcW w:w="1997" w:type="dxa"/>
            <w:tcBorders>
              <w:top w:val="single" w:color="auto" w:sz="4" w:space="0"/>
              <w:left w:val="single" w:color="auto" w:sz="4" w:space="0"/>
              <w:right w:val="single" w:color="auto" w:sz="4" w:space="0"/>
            </w:tcBorders>
            <w:vAlign w:val="center"/>
          </w:tcPr>
          <w:p w14:paraId="6F6AEF9F">
            <w:pPr>
              <w:spacing w:line="480" w:lineRule="exact"/>
              <w:rPr>
                <w:rFonts w:ascii="宋体" w:hAnsi="宋体" w:cs="宋体"/>
              </w:rPr>
            </w:pPr>
            <w:r>
              <w:rPr>
                <w:rFonts w:hint="eastAsia" w:ascii="宋体" w:hAnsi="宋体" w:cs="宋体"/>
              </w:rPr>
              <w:t>功率因数</w:t>
            </w:r>
          </w:p>
        </w:tc>
        <w:tc>
          <w:tcPr>
            <w:tcW w:w="4921" w:type="dxa"/>
            <w:tcBorders>
              <w:top w:val="single" w:color="auto" w:sz="4" w:space="0"/>
              <w:left w:val="single" w:color="auto" w:sz="4" w:space="0"/>
              <w:bottom w:val="single" w:color="auto" w:sz="4" w:space="0"/>
              <w:right w:val="single" w:color="auto" w:sz="4" w:space="0"/>
            </w:tcBorders>
            <w:vAlign w:val="center"/>
          </w:tcPr>
          <w:p w14:paraId="71B09982">
            <w:pPr>
              <w:spacing w:line="480" w:lineRule="exact"/>
              <w:rPr>
                <w:rFonts w:ascii="宋体" w:hAnsi="宋体" w:cs="宋体"/>
              </w:rPr>
            </w:pPr>
            <w:r>
              <w:rPr>
                <w:rFonts w:hint="eastAsia" w:ascii="宋体" w:hAnsi="宋体" w:cs="宋体"/>
              </w:rPr>
              <w:t>-1~1可调</w:t>
            </w:r>
          </w:p>
        </w:tc>
      </w:tr>
      <w:tr w14:paraId="473A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097668E4">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4E099955">
            <w:pPr>
              <w:spacing w:line="480" w:lineRule="exact"/>
              <w:rPr>
                <w:rFonts w:ascii="宋体" w:hAnsi="宋体" w:cs="宋体"/>
              </w:rPr>
            </w:pPr>
            <w:r>
              <w:rPr>
                <w:rFonts w:hint="eastAsia" w:ascii="宋体" w:hAnsi="宋体" w:cs="宋体"/>
              </w:rPr>
              <w:t>冷却方式</w:t>
            </w:r>
          </w:p>
        </w:tc>
        <w:tc>
          <w:tcPr>
            <w:tcW w:w="4921" w:type="dxa"/>
            <w:tcBorders>
              <w:top w:val="single" w:color="auto" w:sz="4" w:space="0"/>
              <w:left w:val="single" w:color="auto" w:sz="4" w:space="0"/>
              <w:bottom w:val="single" w:color="auto" w:sz="4" w:space="0"/>
              <w:right w:val="single" w:color="auto" w:sz="4" w:space="0"/>
            </w:tcBorders>
            <w:vAlign w:val="center"/>
          </w:tcPr>
          <w:p w14:paraId="50DDF5BE">
            <w:pPr>
              <w:spacing w:line="480" w:lineRule="exact"/>
              <w:rPr>
                <w:rFonts w:ascii="宋体" w:hAnsi="宋体" w:cs="宋体"/>
              </w:rPr>
            </w:pPr>
            <w:r>
              <w:rPr>
                <w:rFonts w:hint="eastAsia" w:ascii="宋体" w:hAnsi="宋体" w:cs="宋体"/>
              </w:rPr>
              <w:t>智能风冷</w:t>
            </w:r>
          </w:p>
        </w:tc>
      </w:tr>
      <w:tr w14:paraId="419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7C269FBF">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34FE711F">
            <w:pPr>
              <w:spacing w:line="480" w:lineRule="exact"/>
              <w:rPr>
                <w:rFonts w:ascii="宋体" w:hAnsi="宋体" w:cs="宋体"/>
              </w:rPr>
            </w:pPr>
            <w:r>
              <w:rPr>
                <w:rFonts w:hint="eastAsia" w:ascii="宋体" w:hAnsi="宋体" w:cs="宋体"/>
              </w:rPr>
              <w:t>噪声指标</w:t>
            </w:r>
          </w:p>
        </w:tc>
        <w:tc>
          <w:tcPr>
            <w:tcW w:w="4921" w:type="dxa"/>
            <w:tcBorders>
              <w:top w:val="single" w:color="auto" w:sz="4" w:space="0"/>
              <w:left w:val="single" w:color="auto" w:sz="4" w:space="0"/>
              <w:bottom w:val="single" w:color="auto" w:sz="4" w:space="0"/>
              <w:right w:val="single" w:color="auto" w:sz="4" w:space="0"/>
            </w:tcBorders>
            <w:vAlign w:val="center"/>
          </w:tcPr>
          <w:p w14:paraId="4352B48B">
            <w:pPr>
              <w:spacing w:line="480" w:lineRule="exact"/>
              <w:rPr>
                <w:rFonts w:ascii="宋体" w:hAnsi="宋体" w:cs="宋体"/>
              </w:rPr>
            </w:pPr>
            <w:r>
              <w:rPr>
                <w:rFonts w:hint="eastAsia" w:ascii="宋体" w:hAnsi="宋体" w:cs="宋体"/>
              </w:rPr>
              <w:t>＜65dB</w:t>
            </w:r>
          </w:p>
        </w:tc>
      </w:tr>
      <w:tr w14:paraId="26F2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14:paraId="0A90E9EC">
            <w:pPr>
              <w:spacing w:line="480" w:lineRule="exact"/>
              <w:rPr>
                <w:rFonts w:ascii="宋体" w:hAnsi="宋体" w:cs="宋体"/>
              </w:rPr>
            </w:pPr>
            <w:r>
              <w:rPr>
                <w:rFonts w:hint="eastAsia" w:ascii="宋体" w:hAnsi="宋体" w:cs="宋体"/>
              </w:rPr>
              <w:t>环境要求</w:t>
            </w:r>
          </w:p>
        </w:tc>
        <w:tc>
          <w:tcPr>
            <w:tcW w:w="1997" w:type="dxa"/>
            <w:tcBorders>
              <w:top w:val="single" w:color="auto" w:sz="4" w:space="0"/>
              <w:left w:val="single" w:color="auto" w:sz="4" w:space="0"/>
              <w:bottom w:val="single" w:color="auto" w:sz="4" w:space="0"/>
              <w:right w:val="single" w:color="auto" w:sz="4" w:space="0"/>
            </w:tcBorders>
            <w:vAlign w:val="center"/>
          </w:tcPr>
          <w:p w14:paraId="630DB872">
            <w:pPr>
              <w:spacing w:line="480" w:lineRule="exact"/>
              <w:rPr>
                <w:rFonts w:ascii="宋体" w:hAnsi="宋体" w:cs="宋体"/>
              </w:rPr>
            </w:pPr>
            <w:r>
              <w:rPr>
                <w:rFonts w:hint="eastAsia" w:ascii="宋体" w:hAnsi="宋体" w:cs="宋体"/>
              </w:rPr>
              <w:t>海拔高度</w:t>
            </w:r>
          </w:p>
        </w:tc>
        <w:tc>
          <w:tcPr>
            <w:tcW w:w="4921" w:type="dxa"/>
            <w:tcBorders>
              <w:top w:val="single" w:color="auto" w:sz="4" w:space="0"/>
              <w:left w:val="single" w:color="auto" w:sz="4" w:space="0"/>
              <w:bottom w:val="single" w:color="auto" w:sz="4" w:space="0"/>
              <w:right w:val="single" w:color="auto" w:sz="4" w:space="0"/>
            </w:tcBorders>
            <w:vAlign w:val="center"/>
          </w:tcPr>
          <w:p w14:paraId="0FF177B6">
            <w:pPr>
              <w:spacing w:line="480" w:lineRule="exact"/>
              <w:rPr>
                <w:rFonts w:ascii="宋体" w:hAnsi="宋体" w:cs="宋体"/>
              </w:rPr>
            </w:pPr>
            <w:r>
              <w:rPr>
                <w:rFonts w:hint="eastAsia" w:ascii="宋体" w:hAnsi="宋体" w:cs="宋体"/>
              </w:rPr>
              <w:t>＜2000m，超过2000m需定制</w:t>
            </w:r>
          </w:p>
        </w:tc>
      </w:tr>
      <w:tr w14:paraId="095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30B25097">
            <w:pPr>
              <w:spacing w:line="480" w:lineRule="exact"/>
              <w:rPr>
                <w:rFonts w:ascii="宋体" w:hAnsi="宋体" w:cs="宋体"/>
              </w:rPr>
            </w:pPr>
          </w:p>
        </w:tc>
        <w:tc>
          <w:tcPr>
            <w:tcW w:w="1997" w:type="dxa"/>
            <w:tcBorders>
              <w:top w:val="single" w:color="auto" w:sz="4" w:space="0"/>
              <w:left w:val="single" w:color="auto" w:sz="4" w:space="0"/>
              <w:bottom w:val="single" w:color="auto" w:sz="4" w:space="0"/>
              <w:right w:val="single" w:color="auto" w:sz="4" w:space="0"/>
            </w:tcBorders>
            <w:vAlign w:val="center"/>
          </w:tcPr>
          <w:p w14:paraId="6EDC3C16">
            <w:pPr>
              <w:spacing w:line="480" w:lineRule="exact"/>
              <w:rPr>
                <w:rFonts w:ascii="宋体" w:hAnsi="宋体" w:cs="宋体"/>
              </w:rPr>
            </w:pPr>
            <w:r>
              <w:rPr>
                <w:rFonts w:hint="eastAsia" w:ascii="宋体" w:hAnsi="宋体" w:cs="宋体"/>
              </w:rPr>
              <w:t>运行温度</w:t>
            </w:r>
          </w:p>
        </w:tc>
        <w:tc>
          <w:tcPr>
            <w:tcW w:w="4921" w:type="dxa"/>
            <w:tcBorders>
              <w:top w:val="single" w:color="auto" w:sz="4" w:space="0"/>
              <w:left w:val="single" w:color="auto" w:sz="4" w:space="0"/>
              <w:bottom w:val="single" w:color="auto" w:sz="4" w:space="0"/>
              <w:right w:val="single" w:color="auto" w:sz="4" w:space="0"/>
            </w:tcBorders>
            <w:vAlign w:val="center"/>
          </w:tcPr>
          <w:p w14:paraId="74665D24">
            <w:pPr>
              <w:spacing w:line="480" w:lineRule="exact"/>
              <w:rPr>
                <w:rFonts w:ascii="宋体" w:hAnsi="宋体" w:cs="宋体"/>
              </w:rPr>
            </w:pPr>
            <w:r>
              <w:rPr>
                <w:rFonts w:hint="eastAsia" w:ascii="宋体" w:hAnsi="宋体" w:cs="宋体"/>
              </w:rPr>
              <w:t>-10~40℃</w:t>
            </w:r>
          </w:p>
        </w:tc>
      </w:tr>
      <w:tr w14:paraId="7461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14:paraId="29F21621">
            <w:pPr>
              <w:spacing w:line="480" w:lineRule="exact"/>
              <w:rPr>
                <w:rFonts w:ascii="宋体" w:hAnsi="宋体" w:cs="宋体"/>
              </w:rPr>
            </w:pPr>
          </w:p>
        </w:tc>
        <w:tc>
          <w:tcPr>
            <w:tcW w:w="1997" w:type="dxa"/>
            <w:tcBorders>
              <w:top w:val="single" w:color="auto" w:sz="4" w:space="0"/>
              <w:left w:val="single" w:color="auto" w:sz="4" w:space="0"/>
              <w:right w:val="single" w:color="auto" w:sz="4" w:space="0"/>
            </w:tcBorders>
            <w:vAlign w:val="center"/>
          </w:tcPr>
          <w:p w14:paraId="6FBB720D">
            <w:pPr>
              <w:spacing w:line="480" w:lineRule="exact"/>
              <w:rPr>
                <w:rFonts w:ascii="宋体" w:hAnsi="宋体" w:cs="宋体"/>
              </w:rPr>
            </w:pPr>
            <w:r>
              <w:rPr>
                <w:rFonts w:hint="eastAsia" w:ascii="宋体" w:hAnsi="宋体" w:cs="宋体"/>
              </w:rPr>
              <w:t>相对湿度</w:t>
            </w:r>
          </w:p>
        </w:tc>
        <w:tc>
          <w:tcPr>
            <w:tcW w:w="4921" w:type="dxa"/>
            <w:tcBorders>
              <w:top w:val="single" w:color="auto" w:sz="4" w:space="0"/>
              <w:left w:val="single" w:color="auto" w:sz="4" w:space="0"/>
              <w:bottom w:val="single" w:color="auto" w:sz="4" w:space="0"/>
              <w:right w:val="single" w:color="auto" w:sz="4" w:space="0"/>
            </w:tcBorders>
            <w:vAlign w:val="center"/>
          </w:tcPr>
          <w:p w14:paraId="1B615746">
            <w:pPr>
              <w:spacing w:line="480" w:lineRule="exact"/>
              <w:rPr>
                <w:rFonts w:ascii="宋体" w:hAnsi="宋体" w:cs="宋体"/>
              </w:rPr>
            </w:pPr>
            <w:r>
              <w:rPr>
                <w:rFonts w:hint="eastAsia" w:ascii="宋体" w:hAnsi="宋体" w:cs="宋体"/>
              </w:rPr>
              <w:t>日平均＜95%(25℃)，无凝霜</w:t>
            </w:r>
          </w:p>
          <w:p w14:paraId="36D3B6D9">
            <w:pPr>
              <w:spacing w:line="480" w:lineRule="exact"/>
              <w:rPr>
                <w:rFonts w:ascii="宋体" w:hAnsi="宋体" w:cs="宋体"/>
              </w:rPr>
            </w:pPr>
            <w:r>
              <w:rPr>
                <w:rFonts w:hint="eastAsia" w:ascii="宋体" w:hAnsi="宋体" w:cs="宋体"/>
              </w:rPr>
              <w:t>月平均＜90%(25℃)，无凝霜</w:t>
            </w:r>
          </w:p>
        </w:tc>
      </w:tr>
    </w:tbl>
    <w:p w14:paraId="0A9B6428">
      <w:pPr>
        <w:autoSpaceDE w:val="0"/>
        <w:autoSpaceDN w:val="0"/>
        <w:adjustRightInd w:val="0"/>
        <w:snapToGrid w:val="0"/>
        <w:spacing w:line="480" w:lineRule="exact"/>
        <w:jc w:val="left"/>
        <w:rPr>
          <w:rFonts w:ascii="宋体" w:hAnsi="宋体" w:cs="宋体"/>
        </w:rPr>
      </w:pPr>
      <w:r>
        <w:rPr>
          <w:rFonts w:hint="eastAsia" w:ascii="宋体" w:hAnsi="宋体" w:cs="宋体"/>
        </w:rPr>
        <w:t>4）★APF和SVG推荐品牌：深圳慧能互联、合肥启弘电控、央美电气品牌。</w:t>
      </w:r>
    </w:p>
    <w:p w14:paraId="0A942D4F">
      <w:pPr>
        <w:pStyle w:val="25"/>
        <w:rPr>
          <w:rFonts w:ascii="宋体" w:hAnsi="宋体" w:cs="宋体"/>
        </w:rPr>
      </w:pPr>
      <w:r>
        <w:rPr>
          <w:rFonts w:hint="eastAsia" w:ascii="宋体" w:hAnsi="宋体" w:cs="宋体"/>
        </w:rPr>
        <w:t>★为核心参数，必须满足，否则视为无效投标。</w:t>
      </w:r>
    </w:p>
    <w:p w14:paraId="0076614B">
      <w:pPr>
        <w:pStyle w:val="36"/>
        <w:numPr>
          <w:ilvl w:val="1"/>
          <w:numId w:val="0"/>
        </w:numPr>
        <w:adjustRightInd w:val="0"/>
        <w:snapToGrid w:val="0"/>
        <w:spacing w:beforeLines="0" w:afterLines="0" w:line="480" w:lineRule="exact"/>
        <w:jc w:val="left"/>
        <w:outlineLvl w:val="9"/>
        <w:rPr>
          <w:rFonts w:ascii="宋体" w:hAnsi="宋体"/>
          <w:bCs/>
          <w:kern w:val="44"/>
          <w:sz w:val="24"/>
        </w:rPr>
      </w:pPr>
      <w:r>
        <w:rPr>
          <w:rFonts w:hint="eastAsia" w:ascii="宋体" w:hAnsi="宋体"/>
          <w:bCs/>
          <w:kern w:val="44"/>
          <w:sz w:val="24"/>
        </w:rPr>
        <w:t>六、验收标准</w:t>
      </w:r>
    </w:p>
    <w:p w14:paraId="3B248BB9">
      <w:pPr>
        <w:numPr>
          <w:ilvl w:val="0"/>
          <w:numId w:val="10"/>
        </w:numPr>
        <w:spacing w:line="480" w:lineRule="exact"/>
        <w:jc w:val="left"/>
        <w:rPr>
          <w:rFonts w:ascii="宋体" w:hAnsi="宋体" w:cs="宋体"/>
        </w:rPr>
      </w:pPr>
      <w:r>
        <w:rPr>
          <w:rFonts w:hint="eastAsia" w:ascii="宋体" w:hAnsi="宋体" w:cs="宋体"/>
        </w:rPr>
        <w:t>可抑制2～51次谐波（提供相关型式试验报告）；</w:t>
      </w:r>
    </w:p>
    <w:p w14:paraId="2E94D3DE">
      <w:pPr>
        <w:numPr>
          <w:ilvl w:val="0"/>
          <w:numId w:val="10"/>
        </w:numPr>
        <w:spacing w:line="480" w:lineRule="exact"/>
        <w:jc w:val="left"/>
        <w:rPr>
          <w:rFonts w:ascii="宋体" w:hAnsi="宋体" w:cs="宋体"/>
        </w:rPr>
      </w:pPr>
      <w:r>
        <w:rPr>
          <w:rFonts w:hint="eastAsia" w:ascii="宋体" w:hAnsi="宋体" w:cs="宋体"/>
        </w:rPr>
        <w:t>容量范围内，功率因数≥0.9;</w:t>
      </w:r>
    </w:p>
    <w:p w14:paraId="665EAA71">
      <w:pPr>
        <w:numPr>
          <w:ilvl w:val="0"/>
          <w:numId w:val="10"/>
        </w:numPr>
        <w:spacing w:line="480" w:lineRule="exact"/>
        <w:jc w:val="left"/>
        <w:rPr>
          <w:rFonts w:ascii="宋体" w:hAnsi="宋体" w:cs="宋体"/>
        </w:rPr>
      </w:pPr>
      <w:r>
        <w:rPr>
          <w:rFonts w:hint="eastAsia" w:ascii="宋体" w:hAnsi="宋体" w:cs="宋体"/>
        </w:rPr>
        <w:t>无功补偿功能，该功能的投入使用应可进行设定;</w:t>
      </w:r>
    </w:p>
    <w:p w14:paraId="79EBBCE7">
      <w:pPr>
        <w:numPr>
          <w:ilvl w:val="0"/>
          <w:numId w:val="10"/>
        </w:numPr>
        <w:spacing w:line="480" w:lineRule="exact"/>
        <w:jc w:val="left"/>
        <w:rPr>
          <w:rFonts w:ascii="宋体" w:hAnsi="宋体" w:cs="宋体"/>
        </w:rPr>
      </w:pPr>
      <w:r>
        <w:rPr>
          <w:rFonts w:hint="eastAsia" w:ascii="宋体" w:hAnsi="宋体" w:cs="宋体"/>
        </w:rPr>
        <w:t>中标人所投产品应提供有源电力滤波装置(APF) 的型式试验报告；</w:t>
      </w:r>
    </w:p>
    <w:p w14:paraId="59BA3C71">
      <w:pPr>
        <w:numPr>
          <w:ilvl w:val="0"/>
          <w:numId w:val="10"/>
        </w:numPr>
        <w:spacing w:line="480" w:lineRule="exact"/>
        <w:rPr>
          <w:rFonts w:ascii="宋体" w:hAnsi="宋体" w:cs="宋体"/>
          <w:kern w:val="44"/>
        </w:rPr>
      </w:pPr>
      <w:r>
        <w:rPr>
          <w:rFonts w:hint="eastAsia" w:ascii="宋体" w:hAnsi="宋体" w:cs="宋体"/>
        </w:rPr>
        <w:t>提供产品质量证明书；</w:t>
      </w:r>
    </w:p>
    <w:p w14:paraId="68AC01F7">
      <w:pPr>
        <w:numPr>
          <w:ilvl w:val="0"/>
          <w:numId w:val="10"/>
        </w:numPr>
        <w:spacing w:line="480" w:lineRule="exact"/>
        <w:jc w:val="left"/>
        <w:rPr>
          <w:rFonts w:ascii="宋体" w:hAnsi="宋体" w:cs="宋体"/>
        </w:rPr>
      </w:pPr>
      <w:r>
        <w:rPr>
          <w:rFonts w:hint="eastAsia" w:ascii="宋体" w:hAnsi="宋体" w:cs="宋体"/>
        </w:rPr>
        <w:t>施工期间重要工序拍照留证交院方。</w:t>
      </w:r>
    </w:p>
    <w:p w14:paraId="4D5B4FDF">
      <w:pPr>
        <w:pStyle w:val="25"/>
        <w:ind w:firstLine="0"/>
        <w:rPr>
          <w:color w:val="FF0000"/>
        </w:rPr>
      </w:pPr>
    </w:p>
    <w:p w14:paraId="63CCE522">
      <w:pPr>
        <w:pStyle w:val="25"/>
        <w:ind w:firstLine="0"/>
      </w:pPr>
    </w:p>
    <w:p w14:paraId="3D5B4CFB">
      <w:pPr>
        <w:autoSpaceDE w:val="0"/>
        <w:autoSpaceDN w:val="0"/>
        <w:adjustRightInd w:val="0"/>
        <w:snapToGrid w:val="0"/>
        <w:spacing w:line="480" w:lineRule="exact"/>
        <w:rPr>
          <w:rFonts w:ascii="宋体" w:hAnsi="宋体" w:cs="宋体"/>
          <w:b/>
          <w:bCs/>
        </w:rPr>
      </w:pPr>
      <w:r>
        <w:rPr>
          <w:rFonts w:hint="eastAsia" w:ascii="宋体" w:hAnsi="宋体" w:cs="宋体"/>
          <w:b/>
          <w:bCs/>
        </w:rPr>
        <w:t>七、 工程保修期</w:t>
      </w:r>
    </w:p>
    <w:p w14:paraId="75EDE069">
      <w:pPr>
        <w:spacing w:line="480" w:lineRule="exact"/>
        <w:rPr>
          <w:rFonts w:ascii="宋体" w:hAnsi="宋体" w:cs="宋体"/>
        </w:rPr>
      </w:pPr>
      <w:r>
        <w:rPr>
          <w:rFonts w:hint="eastAsia" w:ascii="宋体" w:hAnsi="宋体" w:cs="宋体"/>
        </w:rPr>
        <w:t>1. 工程保修期为2年；</w:t>
      </w:r>
    </w:p>
    <w:p w14:paraId="5B7674F5">
      <w:pPr>
        <w:spacing w:line="480" w:lineRule="exact"/>
        <w:rPr>
          <w:rFonts w:ascii="宋体" w:hAnsi="宋体" w:cs="宋体"/>
        </w:rPr>
      </w:pPr>
      <w:r>
        <w:rPr>
          <w:rFonts w:hint="eastAsia" w:ascii="宋体" w:hAnsi="宋体" w:cs="宋体"/>
        </w:rPr>
        <w:t>2. 在工程保修期内，有源电力滤波装置出现质量问题，中标人应在7天内进行免费维修或更换。</w:t>
      </w:r>
    </w:p>
    <w:p w14:paraId="16A88F94">
      <w:pPr>
        <w:pStyle w:val="25"/>
      </w:pPr>
    </w:p>
    <w:p w14:paraId="1C84A96F">
      <w:pPr>
        <w:pStyle w:val="5"/>
      </w:pPr>
      <w:r>
        <w:rPr>
          <w:rFonts w:hint="eastAsia"/>
        </w:rPr>
        <w:t>八、商务要求</w:t>
      </w:r>
    </w:p>
    <w:tbl>
      <w:tblPr>
        <w:tblStyle w:val="21"/>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895C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639EC33">
            <w:pPr>
              <w:jc w:val="left"/>
            </w:pPr>
            <w:r>
              <w:rPr>
                <w:rFonts w:hint="eastAsia" w:ascii="宋体" w:hAnsi="宋体" w:cs="宋体"/>
                <w:bCs/>
                <w:color w:val="000000"/>
                <w:kern w:val="0"/>
                <w:szCs w:val="21"/>
              </w:rPr>
              <w:t>★采购预算</w:t>
            </w:r>
          </w:p>
        </w:tc>
        <w:tc>
          <w:tcPr>
            <w:tcW w:w="6524" w:type="dxa"/>
            <w:vAlign w:val="center"/>
          </w:tcPr>
          <w:p w14:paraId="780956A6">
            <w:r>
              <w:rPr>
                <w:rFonts w:hint="eastAsia" w:ascii="宋体" w:hAnsi="宋体" w:cs="宋体"/>
              </w:rPr>
              <w:t>72321</w:t>
            </w:r>
            <w:r>
              <w:rPr>
                <w:rFonts w:hint="eastAsia" w:ascii="宋体" w:hAnsi="宋体" w:cs="宋体"/>
                <w:bCs/>
                <w:color w:val="000000"/>
                <w:kern w:val="0"/>
                <w:szCs w:val="21"/>
              </w:rPr>
              <w:t>元</w:t>
            </w:r>
          </w:p>
        </w:tc>
      </w:tr>
      <w:tr w14:paraId="4F0E0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4691163">
            <w:pPr>
              <w:jc w:val="left"/>
              <w:rPr>
                <w:rFonts w:ascii="宋体" w:hAnsi="宋体" w:cs="宋体"/>
              </w:rPr>
            </w:pPr>
            <w:r>
              <w:rPr>
                <w:rFonts w:hint="eastAsia" w:ascii="宋体" w:hAnsi="宋体"/>
                <w:bCs/>
                <w:szCs w:val="21"/>
              </w:rPr>
              <w:t>谈判响应货币</w:t>
            </w:r>
          </w:p>
        </w:tc>
        <w:tc>
          <w:tcPr>
            <w:tcW w:w="6524" w:type="dxa"/>
            <w:vAlign w:val="center"/>
          </w:tcPr>
          <w:p w14:paraId="03B92556">
            <w:pPr>
              <w:shd w:val="clear" w:color="auto" w:fill="FFFFFF"/>
              <w:topLinePunct/>
              <w:jc w:val="left"/>
              <w:outlineLvl w:val="0"/>
              <w:rPr>
                <w:rFonts w:ascii="宋体" w:hAnsi="宋体" w:cs="宋体"/>
              </w:rPr>
            </w:pPr>
            <w:r>
              <w:rPr>
                <w:rFonts w:hint="eastAsia" w:ascii="宋体" w:hAnsi="宋体"/>
                <w:bCs/>
                <w:color w:val="000000"/>
                <w:kern w:val="0"/>
                <w:szCs w:val="21"/>
              </w:rPr>
              <w:t>谈判</w:t>
            </w:r>
            <w:r>
              <w:rPr>
                <w:rFonts w:hint="eastAsia" w:ascii="宋体" w:hAnsi="宋体"/>
                <w:color w:val="000000"/>
                <w:kern w:val="0"/>
                <w:szCs w:val="21"/>
              </w:rPr>
              <w:t>响应文件中的所有设备单价和总价采用人民币报价，以元为单位标注。</w:t>
            </w:r>
          </w:p>
        </w:tc>
      </w:tr>
      <w:tr w14:paraId="5B496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1" w:hRule="atLeast"/>
        </w:trPr>
        <w:tc>
          <w:tcPr>
            <w:tcW w:w="1901" w:type="dxa"/>
            <w:vAlign w:val="center"/>
          </w:tcPr>
          <w:p w14:paraId="01372A74">
            <w:pPr>
              <w:rPr>
                <w:rFonts w:ascii="宋体" w:hAnsi="宋体" w:cs="宋体"/>
              </w:rPr>
            </w:pPr>
            <w:r>
              <w:rPr>
                <w:rFonts w:ascii="宋体" w:hAnsi="宋体" w:cs="宋体"/>
                <w:bCs/>
                <w:szCs w:val="21"/>
              </w:rPr>
              <w:t>★</w:t>
            </w:r>
            <w:r>
              <w:rPr>
                <w:rFonts w:hint="eastAsia" w:ascii="宋体" w:hAnsi="宋体" w:cs="宋体"/>
                <w:bCs/>
                <w:szCs w:val="21"/>
              </w:rPr>
              <w:t>报价</w:t>
            </w:r>
          </w:p>
        </w:tc>
        <w:tc>
          <w:tcPr>
            <w:tcW w:w="6524" w:type="dxa"/>
            <w:vAlign w:val="center"/>
          </w:tcPr>
          <w:p w14:paraId="79F4F4E2">
            <w:pPr>
              <w:shd w:val="clear" w:color="auto" w:fill="FFFFFF"/>
              <w:topLinePunct/>
              <w:jc w:val="left"/>
              <w:outlineLvl w:val="0"/>
              <w:rPr>
                <w:rFonts w:ascii="宋体" w:hAnsi="宋体" w:cs="宋体"/>
                <w:bCs/>
                <w:szCs w:val="21"/>
              </w:rPr>
            </w:pPr>
            <w:r>
              <w:rPr>
                <w:rFonts w:hint="eastAsia" w:ascii="宋体" w:hAnsi="宋体" w:cs="宋体"/>
                <w:bCs/>
                <w:szCs w:val="21"/>
              </w:rPr>
              <w:t>包含与项目有关的所用费用，含利润、税金等，以及其他为实现项目目的可能产生的所有费用。</w:t>
            </w:r>
          </w:p>
          <w:p w14:paraId="6A0BC58E">
            <w:pPr>
              <w:rPr>
                <w:rFonts w:asciiTheme="minorEastAsia" w:hAnsiTheme="minorEastAsia" w:eastAsiaTheme="minorEastAsia"/>
                <w:szCs w:val="21"/>
                <w:highlight w:val="cyan"/>
              </w:rPr>
            </w:pPr>
          </w:p>
        </w:tc>
      </w:tr>
      <w:tr w14:paraId="66DFC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081C2FE8">
            <w:pPr>
              <w:jc w:val="left"/>
            </w:pPr>
            <w:r>
              <w:rPr>
                <w:rFonts w:hint="eastAsia" w:ascii="宋体" w:hAnsi="宋体" w:cs="宋体"/>
                <w:bCs/>
                <w:color w:val="000000"/>
                <w:kern w:val="0"/>
                <w:szCs w:val="21"/>
              </w:rPr>
              <w:t>★付款方式</w:t>
            </w:r>
          </w:p>
        </w:tc>
        <w:tc>
          <w:tcPr>
            <w:tcW w:w="6524" w:type="dxa"/>
            <w:vAlign w:val="center"/>
          </w:tcPr>
          <w:p w14:paraId="51CDAC9D">
            <w:pPr>
              <w:spacing w:line="480" w:lineRule="exact"/>
              <w:rPr>
                <w:rFonts w:ascii="宋体" w:hAnsi="宋体" w:cs="宋体"/>
              </w:rPr>
            </w:pPr>
            <w:r>
              <w:rPr>
                <w:rFonts w:hint="eastAsia" w:ascii="宋体" w:hAnsi="宋体" w:cs="宋体"/>
              </w:rPr>
              <w:t>验收结束后，付款至合同价的80%，余款在2年后一次性付清。</w:t>
            </w:r>
          </w:p>
          <w:p w14:paraId="40454057">
            <w:pPr>
              <w:shd w:val="clear" w:color="auto" w:fill="FFFFFF"/>
              <w:topLinePunct/>
              <w:jc w:val="left"/>
              <w:outlineLvl w:val="0"/>
            </w:pPr>
          </w:p>
        </w:tc>
      </w:tr>
      <w:tr w14:paraId="096CD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42020023">
            <w:pPr>
              <w:jc w:val="left"/>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rPr>
              <w:t>工期要求</w:t>
            </w:r>
          </w:p>
        </w:tc>
        <w:tc>
          <w:tcPr>
            <w:tcW w:w="6524" w:type="dxa"/>
            <w:vAlign w:val="center"/>
          </w:tcPr>
          <w:p w14:paraId="1AC22BBA">
            <w:pPr>
              <w:spacing w:line="480" w:lineRule="exact"/>
              <w:rPr>
                <w:rFonts w:ascii="宋体" w:hAnsi="宋体" w:cs="宋体"/>
              </w:rPr>
            </w:pPr>
            <w:r>
              <w:rPr>
                <w:rFonts w:hint="eastAsia" w:ascii="宋体" w:hAnsi="宋体" w:cs="宋体"/>
              </w:rPr>
              <w:t>自合同签订之日起30日内完成。</w:t>
            </w:r>
          </w:p>
          <w:p w14:paraId="6C4E103B">
            <w:pPr>
              <w:shd w:val="clear" w:color="auto" w:fill="FFFFFF"/>
              <w:topLinePunct/>
              <w:jc w:val="left"/>
              <w:outlineLvl w:val="0"/>
              <w:rPr>
                <w:rFonts w:ascii="宋体" w:hAnsi="宋体" w:cs="宋体"/>
                <w:bCs/>
                <w:color w:val="000000"/>
                <w:kern w:val="0"/>
                <w:szCs w:val="21"/>
              </w:rPr>
            </w:pPr>
          </w:p>
        </w:tc>
      </w:tr>
      <w:tr w14:paraId="4CCFF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574A48FD">
            <w:pPr>
              <w:jc w:val="left"/>
              <w:rPr>
                <w:rFonts w:ascii="宋体" w:hAnsi="宋体" w:cs="宋体"/>
                <w:bCs/>
                <w:color w:val="000000"/>
                <w:kern w:val="0"/>
                <w:szCs w:val="21"/>
              </w:rPr>
            </w:pPr>
            <w:r>
              <w:rPr>
                <w:rFonts w:hint="eastAsia" w:ascii="宋体" w:hAnsi="宋体" w:cs="宋体"/>
                <w:bCs/>
                <w:color w:val="000000"/>
                <w:kern w:val="0"/>
                <w:szCs w:val="21"/>
              </w:rPr>
              <w:t>验收要求</w:t>
            </w:r>
          </w:p>
        </w:tc>
        <w:tc>
          <w:tcPr>
            <w:tcW w:w="6524" w:type="dxa"/>
            <w:vAlign w:val="center"/>
          </w:tcPr>
          <w:p w14:paraId="3EC1BAF1">
            <w:pPr>
              <w:shd w:val="clear" w:color="auto" w:fill="FFFFFF"/>
              <w:topLinePunct/>
              <w:jc w:val="left"/>
              <w:outlineLvl w:val="0"/>
              <w:rPr>
                <w:rFonts w:ascii="宋体" w:hAnsi="宋体" w:cs="宋体"/>
                <w:bCs/>
                <w:color w:val="000000"/>
                <w:kern w:val="0"/>
                <w:szCs w:val="21"/>
              </w:rPr>
            </w:pPr>
            <w:r>
              <w:rPr>
                <w:rFonts w:hint="eastAsia" w:ascii="宋体" w:hAnsi="宋体" w:cs="宋体"/>
                <w:bCs/>
                <w:color w:val="000000"/>
                <w:kern w:val="0"/>
                <w:szCs w:val="21"/>
              </w:rPr>
              <w:t>工程完工向院方提交验收申请，院方在10个工作日内完成验收工作。</w:t>
            </w:r>
          </w:p>
        </w:tc>
      </w:tr>
      <w:tr w14:paraId="68A3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1901" w:type="dxa"/>
            <w:vAlign w:val="center"/>
          </w:tcPr>
          <w:p w14:paraId="79EF1BCE">
            <w:pPr>
              <w:jc w:val="left"/>
              <w:rPr>
                <w:rFonts w:hint="eastAsia" w:ascii="宋体" w:hAnsi="宋体" w:eastAsia="华文细黑" w:cs="宋体"/>
                <w:bCs/>
                <w:color w:val="000000"/>
                <w:kern w:val="0"/>
                <w:szCs w:val="21"/>
                <w:lang w:val="en-US" w:eastAsia="zh-CN"/>
              </w:rPr>
            </w:pPr>
            <w:r>
              <w:rPr>
                <w:rFonts w:hint="eastAsia" w:ascii="宋体" w:hAnsi="宋体" w:eastAsia="宋体" w:cs="宋体"/>
              </w:rPr>
              <w:t>逾期</w:t>
            </w:r>
            <w:r>
              <w:rPr>
                <w:rFonts w:hint="eastAsia" w:ascii="宋体" w:hAnsi="宋体" w:eastAsia="宋体" w:cs="宋体"/>
                <w:lang w:val="en-US" w:eastAsia="zh-CN"/>
              </w:rPr>
              <w:t>责任</w:t>
            </w:r>
          </w:p>
        </w:tc>
        <w:tc>
          <w:tcPr>
            <w:tcW w:w="6524" w:type="dxa"/>
            <w:vAlign w:val="center"/>
          </w:tcPr>
          <w:p w14:paraId="3E783907">
            <w:pPr>
              <w:pStyle w:val="19"/>
              <w:spacing w:before="0" w:beforeAutospacing="0" w:after="0" w:afterAutospacing="0" w:line="480" w:lineRule="exact"/>
              <w:rPr>
                <w:rFonts w:ascii="Times New Roman" w:hAnsi="Times New Roman" w:cs="Times New Roman"/>
              </w:rPr>
            </w:pPr>
            <w:r>
              <w:rPr>
                <w:rFonts w:hint="eastAsia" w:ascii="宋体" w:hAnsi="宋体" w:eastAsia="宋体" w:cs="宋体"/>
              </w:rPr>
              <w:t>由于</w:t>
            </w:r>
            <w:r>
              <w:rPr>
                <w:rFonts w:hint="eastAsia" w:ascii="宋体" w:hAnsi="宋体" w:eastAsia="宋体" w:cs="宋体"/>
                <w:lang w:val="en-US" w:eastAsia="zh-CN"/>
              </w:rPr>
              <w:t>中标</w:t>
            </w:r>
            <w:r>
              <w:rPr>
                <w:rFonts w:hint="eastAsia" w:cs="宋体"/>
                <w:lang w:val="en-US" w:eastAsia="zh-CN"/>
              </w:rPr>
              <w:t>人</w:t>
            </w:r>
            <w:r>
              <w:rPr>
                <w:rFonts w:hint="eastAsia" w:ascii="宋体" w:hAnsi="宋体" w:eastAsia="宋体" w:cs="宋体"/>
              </w:rPr>
              <w:t>原因逾期竣工的，每逾期一天，</w:t>
            </w:r>
            <w:r>
              <w:rPr>
                <w:rFonts w:hint="eastAsia" w:ascii="宋体" w:hAnsi="宋体" w:eastAsia="宋体" w:cs="宋体"/>
                <w:lang w:val="en-US" w:eastAsia="zh-CN"/>
              </w:rPr>
              <w:t>中标</w:t>
            </w:r>
            <w:r>
              <w:rPr>
                <w:rFonts w:hint="eastAsia" w:cs="宋体"/>
                <w:lang w:val="en-US" w:eastAsia="zh-CN"/>
              </w:rPr>
              <w:t>人</w:t>
            </w:r>
            <w:r>
              <w:rPr>
                <w:rFonts w:hint="eastAsia" w:ascii="宋体" w:hAnsi="宋体" w:eastAsia="宋体" w:cs="宋体"/>
              </w:rPr>
              <w:t>向</w:t>
            </w:r>
            <w:r>
              <w:rPr>
                <w:rFonts w:hint="eastAsia" w:ascii="宋体" w:hAnsi="宋体" w:eastAsia="宋体" w:cs="宋体"/>
                <w:lang w:val="en-US" w:eastAsia="zh-CN"/>
              </w:rPr>
              <w:t>采购人</w:t>
            </w:r>
            <w:r>
              <w:rPr>
                <w:rFonts w:hint="eastAsia" w:ascii="宋体" w:hAnsi="宋体" w:eastAsia="宋体" w:cs="宋体"/>
              </w:rPr>
              <w:t>支付</w:t>
            </w:r>
            <w:r>
              <w:rPr>
                <w:rFonts w:hint="eastAsia" w:ascii="宋体" w:hAnsi="宋体" w:eastAsia="宋体" w:cs="宋体"/>
                <w:u w:val="single"/>
              </w:rPr>
              <w:t xml:space="preserve"> </w:t>
            </w:r>
            <w:r>
              <w:rPr>
                <w:rFonts w:hint="eastAsia" w:ascii="宋体" w:hAnsi="宋体" w:eastAsia="宋体" w:cs="宋体"/>
                <w:u w:val="single"/>
                <w:lang w:val="en-US" w:eastAsia="zh-CN"/>
              </w:rPr>
              <w:t>500</w:t>
            </w:r>
            <w:r>
              <w:rPr>
                <w:rFonts w:hint="eastAsia" w:ascii="宋体" w:hAnsi="宋体" w:eastAsia="宋体" w:cs="宋体"/>
              </w:rPr>
              <w:t>元违约金。</w:t>
            </w:r>
            <w:r>
              <w:rPr>
                <w:rFonts w:hint="eastAsia" w:ascii="Times New Roman" w:hAnsi="Times New Roman" w:cs="Times New Roman"/>
              </w:rPr>
              <w:t>由于</w:t>
            </w:r>
            <w:r>
              <w:rPr>
                <w:rFonts w:hint="eastAsia" w:ascii="宋体" w:hAnsi="宋体" w:eastAsia="宋体" w:cs="宋体"/>
                <w:lang w:val="en-US" w:eastAsia="zh-CN"/>
              </w:rPr>
              <w:t>中标</w:t>
            </w:r>
            <w:r>
              <w:rPr>
                <w:rFonts w:hint="eastAsia" w:cs="宋体"/>
                <w:lang w:val="en-US" w:eastAsia="zh-CN"/>
              </w:rPr>
              <w:t>人</w:t>
            </w:r>
            <w:r>
              <w:rPr>
                <w:rFonts w:hint="eastAsia" w:ascii="Times New Roman" w:hAnsi="Times New Roman" w:cs="Times New Roman"/>
              </w:rPr>
              <w:t>原因未能按期开工的，应当以书面形式告知</w:t>
            </w:r>
            <w:r>
              <w:rPr>
                <w:rFonts w:hint="eastAsia" w:ascii="宋体" w:hAnsi="宋体" w:eastAsia="宋体" w:cs="宋体"/>
                <w:lang w:val="en-US" w:eastAsia="zh-CN"/>
              </w:rPr>
              <w:t>采购人</w:t>
            </w:r>
            <w:r>
              <w:rPr>
                <w:rFonts w:hint="eastAsia" w:ascii="Times New Roman" w:hAnsi="Times New Roman" w:cs="Times New Roman"/>
              </w:rPr>
              <w:t>，并承担因延期开工产生的损失。</w:t>
            </w:r>
          </w:p>
          <w:p w14:paraId="02944F07">
            <w:pPr>
              <w:shd w:val="clear" w:color="auto" w:fill="FFFFFF"/>
              <w:topLinePunct/>
              <w:jc w:val="left"/>
              <w:outlineLvl w:val="0"/>
              <w:rPr>
                <w:rFonts w:hint="eastAsia" w:ascii="宋体" w:hAnsi="宋体" w:cs="宋体"/>
                <w:bCs/>
                <w:color w:val="000000"/>
                <w:kern w:val="0"/>
                <w:szCs w:val="21"/>
              </w:rPr>
            </w:pPr>
          </w:p>
        </w:tc>
      </w:tr>
    </w:tbl>
    <w:p w14:paraId="7959C950">
      <w:pPr>
        <w:topLinePunct/>
        <w:rPr>
          <w:rFonts w:ascii="宋体" w:hAnsi="宋体"/>
          <w:szCs w:val="21"/>
        </w:rPr>
      </w:pPr>
      <w:r>
        <w:rPr>
          <w:rFonts w:hint="eastAsia" w:ascii="宋体" w:hAnsi="宋体"/>
          <w:szCs w:val="21"/>
        </w:rPr>
        <w:t>◆对项目需求部分的询问、质疑请向采购人提出，询问、质疑有采购人负责解释。</w:t>
      </w:r>
    </w:p>
    <w:p w14:paraId="18D64E93">
      <w:pPr>
        <w:spacing w:line="480" w:lineRule="exact"/>
        <w:rPr>
          <w:rFonts w:ascii="宋体" w:hAnsi="宋体" w:cs="宋体"/>
        </w:rPr>
      </w:pPr>
      <w:r>
        <w:rPr>
          <w:rFonts w:hint="eastAsia" w:ascii="宋体" w:hAnsi="宋体"/>
          <w:szCs w:val="21"/>
        </w:rPr>
        <w:t>本部分标注“</w:t>
      </w:r>
      <w:r>
        <w:rPr>
          <w:rFonts w:hint="eastAsia" w:ascii="宋体" w:hAnsi="宋体" w:cs="宋体"/>
          <w:szCs w:val="21"/>
          <w:lang w:val="zh-CN"/>
        </w:rPr>
        <w:t>★</w:t>
      </w:r>
      <w:r>
        <w:rPr>
          <w:rFonts w:hint="eastAsia" w:ascii="宋体" w:hAnsi="宋体"/>
          <w:szCs w:val="21"/>
        </w:rPr>
        <w:t>”实质性要求，必须响应，不允许负偏离，否则作为无效投标处理。</w:t>
      </w:r>
    </w:p>
    <w:p w14:paraId="117ED997"/>
    <w:p w14:paraId="75585452">
      <w:pPr>
        <w:pStyle w:val="5"/>
        <w:jc w:val="left"/>
      </w:pPr>
      <w:bookmarkStart w:id="1" w:name="_Toc7920"/>
      <w:bookmarkStart w:id="2" w:name="_Toc10480"/>
      <w:r>
        <w:rPr>
          <w:rFonts w:hint="eastAsia"/>
        </w:rPr>
        <w:t>九、</w:t>
      </w:r>
      <w:bookmarkEnd w:id="1"/>
      <w:bookmarkEnd w:id="2"/>
      <w:r>
        <w:rPr>
          <w:rFonts w:hint="eastAsia"/>
        </w:rPr>
        <w:t>开标</w:t>
      </w:r>
    </w:p>
    <w:p w14:paraId="798CC8E5">
      <w:pPr>
        <w:jc w:val="left"/>
        <w:rPr>
          <w:rFonts w:ascii="宋体" w:hAnsi="宋体" w:cs="宋体"/>
        </w:rPr>
      </w:pPr>
      <w:r>
        <w:rPr>
          <w:rFonts w:hint="eastAsia" w:ascii="宋体" w:hAnsi="宋体" w:cs="宋体"/>
        </w:rPr>
        <w:t>6.1开标时间：医院通知；</w:t>
      </w:r>
    </w:p>
    <w:p w14:paraId="3C477DE3">
      <w:pPr>
        <w:jc w:val="left"/>
        <w:rPr>
          <w:rFonts w:ascii="宋体" w:hAnsi="宋体" w:cs="宋体"/>
        </w:rPr>
      </w:pPr>
      <w:r>
        <w:rPr>
          <w:rFonts w:hint="eastAsia" w:ascii="宋体" w:hAnsi="宋体" w:cs="宋体"/>
        </w:rPr>
        <w:t>6.2开标地点：院内会议室；</w:t>
      </w:r>
    </w:p>
    <w:p w14:paraId="389E808A">
      <w:pPr>
        <w:pStyle w:val="25"/>
        <w:ind w:firstLine="0"/>
      </w:pPr>
      <w:r>
        <w:rPr>
          <w:rFonts w:hint="eastAsia" w:ascii="宋体" w:hAnsi="宋体" w:cs="宋体"/>
          <w:bCs/>
        </w:rPr>
        <w:t>6.3</w:t>
      </w:r>
      <w:r>
        <w:rPr>
          <w:rFonts w:hint="eastAsia" w:ascii="宋体" w:hAnsi="宋体" w:cs="宋体"/>
        </w:rPr>
        <w:t>投标文件一</w:t>
      </w:r>
      <w:r>
        <w:rPr>
          <w:rFonts w:hint="eastAsia"/>
        </w:rPr>
        <w:t>式二份，开标时提供（格式参见第二部分）</w:t>
      </w:r>
    </w:p>
    <w:p w14:paraId="11AB920C">
      <w:pPr>
        <w:pStyle w:val="25"/>
        <w:ind w:firstLine="0"/>
      </w:pPr>
    </w:p>
    <w:p w14:paraId="54D17CAB">
      <w:pPr>
        <w:pStyle w:val="25"/>
        <w:ind w:firstLine="0"/>
      </w:pPr>
    </w:p>
    <w:p w14:paraId="46BF310E">
      <w:pPr>
        <w:pStyle w:val="25"/>
        <w:ind w:firstLine="0"/>
      </w:pPr>
    </w:p>
    <w:p w14:paraId="43529DAD">
      <w:pPr>
        <w:pStyle w:val="25"/>
        <w:ind w:firstLine="0"/>
      </w:pPr>
    </w:p>
    <w:p w14:paraId="70C7560F">
      <w:pPr>
        <w:pStyle w:val="25"/>
        <w:ind w:firstLine="0"/>
      </w:pPr>
    </w:p>
    <w:p w14:paraId="5383138C">
      <w:pPr>
        <w:pStyle w:val="25"/>
        <w:ind w:firstLine="0"/>
      </w:pPr>
    </w:p>
    <w:p w14:paraId="5AC684EE">
      <w:pPr>
        <w:pStyle w:val="25"/>
        <w:ind w:firstLine="0"/>
      </w:pPr>
    </w:p>
    <w:p w14:paraId="32BAE4B4">
      <w:pPr>
        <w:pStyle w:val="25"/>
        <w:ind w:firstLine="0"/>
      </w:pPr>
    </w:p>
    <w:p w14:paraId="55B8714E">
      <w:pPr>
        <w:pStyle w:val="25"/>
        <w:ind w:firstLine="0"/>
      </w:pPr>
    </w:p>
    <w:p w14:paraId="7E76DE53">
      <w:pPr>
        <w:pStyle w:val="25"/>
        <w:ind w:firstLine="0"/>
      </w:pPr>
    </w:p>
    <w:p w14:paraId="2DBE5F79">
      <w:pPr>
        <w:pStyle w:val="25"/>
        <w:ind w:firstLine="0"/>
      </w:pPr>
    </w:p>
    <w:p w14:paraId="223D9D10">
      <w:pPr>
        <w:pStyle w:val="25"/>
        <w:ind w:firstLine="0"/>
      </w:pPr>
    </w:p>
    <w:p w14:paraId="745B6437">
      <w:pPr>
        <w:pStyle w:val="19"/>
        <w:spacing w:line="460" w:lineRule="exact"/>
        <w:ind w:firstLine="640" w:firstLineChars="200"/>
        <w:jc w:val="both"/>
        <w:rPr>
          <w:rFonts w:ascii="微软雅黑" w:hAnsi="微软雅黑" w:eastAsia="微软雅黑" w:cs="微软雅黑"/>
          <w:b/>
          <w:bCs/>
          <w:sz w:val="32"/>
          <w:szCs w:val="32"/>
        </w:rPr>
      </w:pPr>
      <w:r>
        <w:rPr>
          <w:rFonts w:hint="eastAsia" w:ascii="微软雅黑" w:hAnsi="微软雅黑" w:eastAsia="微软雅黑" w:cs="微软雅黑"/>
          <w:b/>
          <w:bCs/>
          <w:sz w:val="32"/>
          <w:szCs w:val="32"/>
        </w:rPr>
        <w:t>高配房1号变压器有源滤波无功补偿柜维修合同</w:t>
      </w:r>
    </w:p>
    <w:p w14:paraId="23F71794">
      <w:pPr>
        <w:pStyle w:val="19"/>
        <w:spacing w:line="480" w:lineRule="exact"/>
        <w:jc w:val="both"/>
        <w:rPr>
          <w:rFonts w:ascii="华文细黑" w:hAnsi="华文细黑" w:eastAsia="华文细黑" w:cs="华文细黑"/>
          <w:b/>
        </w:rPr>
      </w:pPr>
      <w:r>
        <w:rPr>
          <w:rFonts w:hint="eastAsia" w:ascii="华文细黑" w:hAnsi="华文细黑" w:eastAsia="华文细黑" w:cs="华文细黑"/>
          <w:b/>
        </w:rPr>
        <w:t>发包人（甲方）：</w:t>
      </w:r>
      <w:r>
        <w:rPr>
          <w:rFonts w:hint="eastAsia" w:ascii="华文细黑" w:hAnsi="华文细黑" w:eastAsia="华文细黑" w:cs="华文细黑"/>
          <w:b/>
          <w:u w:val="single"/>
        </w:rPr>
        <w:t xml:space="preserve">                 </w:t>
      </w:r>
    </w:p>
    <w:p w14:paraId="10A8A100">
      <w:pPr>
        <w:pStyle w:val="19"/>
        <w:spacing w:line="480" w:lineRule="exact"/>
        <w:jc w:val="both"/>
        <w:rPr>
          <w:rFonts w:ascii="华文细黑" w:hAnsi="华文细黑" w:eastAsia="华文细黑" w:cs="华文细黑"/>
          <w:b/>
          <w:u w:val="single"/>
        </w:rPr>
      </w:pPr>
      <w:r>
        <w:rPr>
          <w:rFonts w:hint="eastAsia" w:ascii="华文细黑" w:hAnsi="华文细黑" w:eastAsia="华文细黑" w:cs="华文细黑"/>
          <w:b/>
        </w:rPr>
        <w:t>承包人（乙方）：</w:t>
      </w:r>
      <w:r>
        <w:rPr>
          <w:rFonts w:hint="eastAsia" w:ascii="华文细黑" w:hAnsi="华文细黑" w:eastAsia="华文细黑" w:cs="华文细黑"/>
          <w:b/>
          <w:u w:val="single"/>
        </w:rPr>
        <w:t xml:space="preserve">               </w:t>
      </w:r>
    </w:p>
    <w:p w14:paraId="23F190DA">
      <w:pPr>
        <w:pStyle w:val="19"/>
        <w:spacing w:line="480" w:lineRule="exact"/>
        <w:ind w:firstLine="480" w:firstLineChars="200"/>
        <w:jc w:val="both"/>
        <w:rPr>
          <w:rFonts w:ascii="华文细黑" w:hAnsi="华文细黑" w:eastAsia="华文细黑" w:cs="华文细黑"/>
        </w:rPr>
      </w:pPr>
      <w:r>
        <w:rPr>
          <w:rFonts w:hint="eastAsia" w:ascii="华文细黑" w:hAnsi="华文细黑" w:eastAsia="华文细黑" w:cs="华文细黑"/>
        </w:rPr>
        <w:t>为明确双方的权利与义务，根据《中华人民共和国民法典》及</w:t>
      </w:r>
      <w:r>
        <w:rPr>
          <w:rFonts w:hint="eastAsia" w:ascii="华文细黑" w:hAnsi="华文细黑" w:eastAsia="华文细黑" w:cs="华文细黑"/>
          <w:u w:val="single"/>
        </w:rPr>
        <w:t>高配房1号变压器有源滤波无功补偿柜维修采购项目</w:t>
      </w:r>
      <w:r>
        <w:rPr>
          <w:rFonts w:hint="eastAsia"/>
        </w:rPr>
        <w:t>（编号</w:t>
      </w:r>
      <w:r>
        <w:rPr>
          <w:rFonts w:hint="eastAsia"/>
          <w:u w:val="single"/>
        </w:rPr>
        <w:t>DRY-CG-2025005</w:t>
      </w:r>
      <w:r>
        <w:rPr>
          <w:rFonts w:hint="eastAsia"/>
        </w:rPr>
        <w:t>）采购结果</w:t>
      </w:r>
      <w:r>
        <w:rPr>
          <w:rFonts w:hint="eastAsia" w:ascii="华文细黑" w:hAnsi="华文细黑" w:eastAsia="华文细黑" w:cs="华文细黑"/>
        </w:rPr>
        <w:t>，甲、乙双方在平等、自愿、协商一致的基础上达成如下协议，共同遵守。</w:t>
      </w:r>
    </w:p>
    <w:p w14:paraId="30289AB7">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第一条 工程概况</w:t>
      </w:r>
    </w:p>
    <w:p w14:paraId="3185804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1．工程名称：</w:t>
      </w:r>
      <w:r>
        <w:rPr>
          <w:rFonts w:hint="eastAsia" w:ascii="华文细黑" w:hAnsi="华文细黑" w:eastAsia="华文细黑" w:cs="华文细黑"/>
          <w:u w:val="single"/>
        </w:rPr>
        <w:t></w:t>
      </w:r>
      <w:r>
        <w:rPr>
          <w:rFonts w:hint="eastAsia" w:ascii="华文细黑" w:hAnsi="华文细黑" w:eastAsia="华文细黑" w:cs="华文细黑"/>
          <w:bCs/>
          <w:u w:val="single"/>
        </w:rPr>
        <w:t xml:space="preserve"> </w:t>
      </w:r>
      <w:r>
        <w:rPr>
          <w:rFonts w:hint="eastAsia" w:ascii="华文细黑" w:hAnsi="华文细黑" w:eastAsia="华文细黑" w:cs="华文细黑"/>
          <w:u w:val="single"/>
        </w:rPr>
        <w:t xml:space="preserve">  根据招标要求写或根据比价要求写   </w:t>
      </w:r>
    </w:p>
    <w:p w14:paraId="2BC86BEF">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2．工程地点：</w:t>
      </w:r>
      <w:r>
        <w:rPr>
          <w:rFonts w:hint="eastAsia" w:ascii="华文细黑" w:hAnsi="华文细黑" w:eastAsia="华文细黑" w:cs="华文细黑"/>
          <w:u w:val="single"/>
        </w:rPr>
        <w:t xml:space="preserve">     同上                   </w:t>
      </w:r>
    </w:p>
    <w:p w14:paraId="2BEF43CE">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3．施工内容：</w:t>
      </w:r>
      <w:r>
        <w:rPr>
          <w:rFonts w:hint="eastAsia" w:ascii="华文细黑" w:hAnsi="华文细黑" w:eastAsia="华文细黑" w:cs="华文细黑"/>
          <w:u w:val="single"/>
        </w:rPr>
        <w:t xml:space="preserve">     同上                    </w:t>
      </w:r>
    </w:p>
    <w:p w14:paraId="4C8818E7">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4．承包方式：</w:t>
      </w:r>
      <w:r>
        <w:rPr>
          <w:rFonts w:hint="eastAsia" w:ascii="华文细黑" w:hAnsi="华文细黑" w:eastAsia="华文细黑" w:cs="华文细黑"/>
          <w:u w:val="single"/>
        </w:rPr>
        <w:t xml:space="preserve">      同上                  </w:t>
      </w:r>
    </w:p>
    <w:p w14:paraId="42F2433B">
      <w:pPr>
        <w:pStyle w:val="19"/>
        <w:spacing w:before="0" w:beforeAutospacing="0" w:after="0" w:afterAutospacing="0" w:line="48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5. 验收标准：</w:t>
      </w:r>
      <w:r>
        <w:rPr>
          <w:rFonts w:hint="eastAsia" w:ascii="华文细黑" w:hAnsi="华文细黑" w:eastAsia="华文细黑" w:cs="华文细黑"/>
          <w:u w:val="single"/>
        </w:rPr>
        <w:t xml:space="preserve">       同上                          </w:t>
      </w:r>
    </w:p>
    <w:p w14:paraId="6207D6AB">
      <w:pPr>
        <w:pStyle w:val="19"/>
        <w:spacing w:before="0" w:beforeAutospacing="0" w:after="0" w:afterAutospacing="0" w:line="480" w:lineRule="exact"/>
        <w:ind w:left="547" w:leftChars="228"/>
        <w:rPr>
          <w:rFonts w:ascii="华文细黑" w:hAnsi="华文细黑" w:eastAsia="华文细黑" w:cs="华文细黑"/>
        </w:rPr>
      </w:pPr>
      <w:r>
        <w:rPr>
          <w:rFonts w:hint="eastAsia" w:ascii="华文细黑" w:hAnsi="华文细黑" w:eastAsia="华文细黑" w:cs="华文细黑"/>
        </w:rPr>
        <w:t>6．合同工期：计划开工日期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日；计划竣工日期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 根据招标要求写 ）</w:t>
      </w:r>
    </w:p>
    <w:p w14:paraId="2BB0F8E2">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b/>
        </w:rPr>
        <w:t>第二条 合同价及工程保修</w:t>
      </w:r>
      <w:r>
        <w:rPr>
          <w:rFonts w:hint="eastAsia" w:ascii="华文细黑" w:hAnsi="华文细黑" w:eastAsia="华文细黑" w:cs="华文细黑"/>
        </w:rPr>
        <w:t>（ 根据招标要求写 ）</w:t>
      </w:r>
    </w:p>
    <w:p w14:paraId="1C001D0A">
      <w:pPr>
        <w:pStyle w:val="19"/>
        <w:spacing w:before="0" w:beforeAutospacing="0" w:after="0" w:afterAutospacing="0" w:line="480" w:lineRule="exact"/>
        <w:ind w:left="1267" w:leftChars="228" w:hanging="720" w:hangingChars="300"/>
        <w:rPr>
          <w:rFonts w:ascii="华文细黑" w:hAnsi="华文细黑" w:eastAsia="华文细黑" w:cs="华文细黑"/>
        </w:rPr>
      </w:pPr>
      <w:r>
        <w:rPr>
          <w:rFonts w:hint="eastAsia" w:ascii="华文细黑" w:hAnsi="华文细黑" w:eastAsia="华文细黑" w:cs="华文细黑"/>
        </w:rPr>
        <w:t>1.本工程合同款（人民币大写）：</w:t>
      </w:r>
      <w:r>
        <w:rPr>
          <w:rFonts w:hint="eastAsia" w:ascii="华文细黑" w:hAnsi="华文细黑" w:eastAsia="华文细黑" w:cs="华文细黑"/>
          <w:u w:val="single"/>
        </w:rPr>
        <w:t xml:space="preserve">         ；</w:t>
      </w:r>
      <w:r>
        <w:rPr>
          <w:rFonts w:hint="eastAsia" w:ascii="华文细黑" w:hAnsi="华文细黑" w:eastAsia="华文细黑" w:cs="华文细黑"/>
        </w:rPr>
        <w:t>（人民币小写）：</w:t>
      </w:r>
      <w:r>
        <w:rPr>
          <w:rFonts w:hint="eastAsia" w:ascii="华文细黑" w:hAnsi="华文细黑" w:eastAsia="华文细黑" w:cs="华文细黑"/>
          <w:u w:val="single"/>
        </w:rPr>
        <w:t xml:space="preserve">      </w:t>
      </w:r>
      <w:r>
        <w:rPr>
          <w:rFonts w:hint="eastAsia" w:ascii="华文细黑" w:hAnsi="华文细黑" w:eastAsia="华文细黑" w:cs="华文细黑"/>
        </w:rPr>
        <w:t>（元）；</w:t>
      </w:r>
    </w:p>
    <w:p w14:paraId="246790B4">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2.工程保修期为安装调试验收合格后</w:t>
      </w:r>
      <w:r>
        <w:rPr>
          <w:rFonts w:hint="eastAsia" w:ascii="华文细黑" w:hAnsi="华文细黑" w:eastAsia="华文细黑" w:cs="华文细黑"/>
          <w:u w:val="single"/>
        </w:rPr>
        <w:t xml:space="preserve">   </w:t>
      </w:r>
      <w:r>
        <w:rPr>
          <w:rFonts w:hint="eastAsia" w:ascii="华文细黑" w:hAnsi="华文细黑" w:eastAsia="华文细黑" w:cs="华文细黑"/>
        </w:rPr>
        <w:t>年。在工程保修期内，设备出现质量问题，乙方应在</w:t>
      </w:r>
      <w:r>
        <w:rPr>
          <w:rFonts w:hint="eastAsia" w:ascii="华文细黑" w:hAnsi="华文细黑" w:eastAsia="华文细黑" w:cs="华文细黑"/>
          <w:u w:val="single"/>
        </w:rPr>
        <w:t xml:space="preserve">     </w:t>
      </w:r>
      <w:r>
        <w:rPr>
          <w:rFonts w:hint="eastAsia" w:ascii="华文细黑" w:hAnsi="华文细黑" w:eastAsia="华文细黑" w:cs="华文细黑"/>
        </w:rPr>
        <w:t>天内进行免费维修或更换。</w:t>
      </w:r>
    </w:p>
    <w:p w14:paraId="6F9B5274">
      <w:pPr>
        <w:spacing w:line="480" w:lineRule="exact"/>
        <w:rPr>
          <w:rFonts w:ascii="华文细黑" w:hAnsi="华文细黑" w:eastAsia="华文细黑" w:cs="华文细黑"/>
          <w:b/>
        </w:rPr>
      </w:pPr>
      <w:r>
        <w:rPr>
          <w:rFonts w:hint="eastAsia" w:ascii="华文细黑" w:hAnsi="华文细黑" w:eastAsia="华文细黑" w:cs="华文细黑"/>
          <w:b/>
        </w:rPr>
        <w:t xml:space="preserve">第三条 材料供应的约定 </w:t>
      </w:r>
    </w:p>
    <w:p w14:paraId="04E05137">
      <w:pPr>
        <w:spacing w:line="480" w:lineRule="exact"/>
        <w:ind w:firstLine="560"/>
        <w:rPr>
          <w:rFonts w:ascii="华文细黑" w:hAnsi="华文细黑" w:eastAsia="华文细黑" w:cs="华文细黑"/>
        </w:rPr>
      </w:pPr>
      <w:r>
        <w:rPr>
          <w:rFonts w:hint="eastAsia" w:ascii="华文细黑" w:hAnsi="华文细黑" w:eastAsia="华文细黑" w:cs="华文细黑"/>
        </w:rPr>
        <w:t>1．乙方负责采购供应的材料、设备，其质量应该达到合格标准并符合施工相关技术规范要求，甲方认为必要时，乙方需提供检测报告。</w:t>
      </w:r>
    </w:p>
    <w:p w14:paraId="34F55D1F">
      <w:pPr>
        <w:spacing w:line="480" w:lineRule="exact"/>
        <w:ind w:firstLine="560"/>
        <w:rPr>
          <w:rFonts w:ascii="华文细黑" w:hAnsi="华文细黑" w:eastAsia="华文细黑" w:cs="华文细黑"/>
        </w:rPr>
      </w:pPr>
      <w:r>
        <w:rPr>
          <w:rFonts w:hint="eastAsia" w:ascii="华文细黑" w:hAnsi="华文细黑" w:eastAsia="华文细黑" w:cs="华文细黑"/>
        </w:rPr>
        <w:t>2．乙方采购供应的施工材料、设备，均由乙方负责保管，由于保管不当造成的损失由乙方自行负责。</w:t>
      </w:r>
    </w:p>
    <w:p w14:paraId="1FE6B3BD">
      <w:pPr>
        <w:pStyle w:val="26"/>
        <w:spacing w:line="480" w:lineRule="exact"/>
        <w:rPr>
          <w:rFonts w:ascii="华文细黑" w:hAnsi="华文细黑" w:eastAsia="华文细黑" w:cs="华文细黑"/>
        </w:rPr>
      </w:pPr>
      <w:r>
        <w:rPr>
          <w:rFonts w:hint="eastAsia" w:ascii="华文细黑" w:hAnsi="华文细黑" w:eastAsia="华文细黑" w:cs="华文细黑"/>
        </w:rPr>
        <w:t>3.本工程特定材料要求：（</w:t>
      </w:r>
      <w:r>
        <w:rPr>
          <w:rFonts w:hint="eastAsia" w:ascii="华文细黑" w:hAnsi="华文细黑" w:eastAsia="华文细黑" w:cs="华文细黑"/>
          <w:u w:val="single"/>
        </w:rPr>
        <w:t>根据招标要求写或根据比价要求写</w:t>
      </w:r>
      <w:r>
        <w:rPr>
          <w:rFonts w:hint="eastAsia" w:ascii="华文细黑" w:hAnsi="华文细黑" w:eastAsia="华文细黑" w:cs="华文细黑"/>
        </w:rPr>
        <w:t>）。</w:t>
      </w:r>
    </w:p>
    <w:p w14:paraId="3C404E6E">
      <w:pPr>
        <w:spacing w:line="480" w:lineRule="exact"/>
        <w:rPr>
          <w:rFonts w:ascii="华文细黑" w:hAnsi="华文细黑" w:eastAsia="华文细黑" w:cs="华文细黑"/>
          <w:b/>
        </w:rPr>
      </w:pPr>
      <w:r>
        <w:rPr>
          <w:rFonts w:hint="eastAsia" w:ascii="华文细黑" w:hAnsi="华文细黑" w:eastAsia="华文细黑" w:cs="华文细黑"/>
          <w:b/>
        </w:rPr>
        <w:t>第四条 关于工程质量及验收的约定</w:t>
      </w:r>
    </w:p>
    <w:p w14:paraId="6393AA36">
      <w:pPr>
        <w:spacing w:line="480" w:lineRule="exact"/>
        <w:rPr>
          <w:rFonts w:ascii="华文细黑" w:hAnsi="华文细黑" w:eastAsia="华文细黑" w:cs="华文细黑"/>
        </w:rPr>
      </w:pPr>
      <w:r>
        <w:rPr>
          <w:rFonts w:hint="eastAsia" w:ascii="华文细黑" w:hAnsi="华文细黑" w:eastAsia="华文细黑" w:cs="华文细黑"/>
          <w:b/>
        </w:rPr>
        <w:t>1</w:t>
      </w:r>
      <w:r>
        <w:rPr>
          <w:rFonts w:hint="eastAsia" w:ascii="华文细黑" w:hAnsi="华文细黑" w:eastAsia="华文细黑" w:cs="华文细黑"/>
        </w:rPr>
        <w:t>．由于乙方</w:t>
      </w:r>
      <w:r>
        <w:rPr>
          <w:rFonts w:hint="eastAsia" w:ascii="华文细黑" w:hAnsi="华文细黑" w:eastAsia="华文细黑" w:cs="华文细黑"/>
          <w:kern w:val="0"/>
        </w:rPr>
        <w:t>提供的材料、设备质量不合格或其他</w:t>
      </w:r>
      <w:r>
        <w:rPr>
          <w:rFonts w:hint="eastAsia" w:ascii="华文细黑" w:hAnsi="华文细黑" w:eastAsia="华文细黑" w:cs="华文细黑"/>
        </w:rPr>
        <w:t>原因造成的质量问题，乙方承担返工费用及相关责任。</w:t>
      </w:r>
    </w:p>
    <w:p w14:paraId="27160BD4">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2．在施工过程中，甲方提出设计修改意见及增减工程项目，须提前与乙方联系，在签订《工程项目变更单》后，方能进行该项目的施工，由此影响竣工日期的，由甲、乙双方商定。</w:t>
      </w:r>
    </w:p>
    <w:p w14:paraId="22BB09F5">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3．隐蔽工程须留有影像资料，甲乙双方签署隐蔽工程验收单。</w:t>
      </w:r>
    </w:p>
    <w:p w14:paraId="415419B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49DA4675">
      <w:pPr>
        <w:pStyle w:val="12"/>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5.工程保修期为</w:t>
      </w:r>
      <w:r>
        <w:rPr>
          <w:rFonts w:hint="eastAsia" w:ascii="华文细黑" w:hAnsi="华文细黑" w:eastAsia="华文细黑" w:cs="华文细黑"/>
          <w:u w:val="single"/>
        </w:rPr>
        <w:t xml:space="preserve">   </w:t>
      </w:r>
      <w:r>
        <w:rPr>
          <w:rFonts w:hint="eastAsia" w:ascii="华文细黑" w:hAnsi="华文细黑" w:eastAsia="华文细黑" w:cs="华文细黑"/>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0C6FBDDD">
      <w:pPr>
        <w:pStyle w:val="12"/>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 xml:space="preserve">6.本工程特定验收要求：（ </w:t>
      </w:r>
      <w:r>
        <w:rPr>
          <w:rFonts w:hint="eastAsia" w:ascii="华文细黑" w:hAnsi="华文细黑" w:eastAsia="华文细黑" w:cs="华文细黑"/>
          <w:u w:val="single"/>
        </w:rPr>
        <w:t>根据招标要求写或根据比价要求写</w:t>
      </w:r>
      <w:r>
        <w:rPr>
          <w:rFonts w:hint="eastAsia" w:ascii="华文细黑" w:hAnsi="华文细黑" w:eastAsia="华文细黑" w:cs="华文细黑"/>
        </w:rPr>
        <w:t xml:space="preserve"> ）</w:t>
      </w:r>
    </w:p>
    <w:p w14:paraId="4AF494A7">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第五条 有关安全生产和防火等的现场管理约定</w:t>
      </w:r>
    </w:p>
    <w:p w14:paraId="413F6EF0">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55A4E9C0">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2．乙方如因施工原因需居住在现场，日常用水、用电、用燃气等必须注意安全，如乙方因此而造成相关后果，由乙方负责。</w:t>
      </w:r>
    </w:p>
    <w:p w14:paraId="09D90214">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3．乙方应做好施工材料保管工作，禁止闲杂人员等进入现场。</w:t>
      </w:r>
    </w:p>
    <w:p w14:paraId="04D49546">
      <w:pPr>
        <w:pStyle w:val="19"/>
        <w:spacing w:before="0" w:beforeAutospacing="0" w:after="0" w:afterAutospacing="0" w:line="480" w:lineRule="exact"/>
        <w:rPr>
          <w:rFonts w:ascii="华文细黑" w:hAnsi="华文细黑" w:eastAsia="华文细黑" w:cs="华文细黑"/>
          <w:b/>
          <w:bCs/>
        </w:rPr>
      </w:pPr>
      <w:r>
        <w:rPr>
          <w:rFonts w:hint="eastAsia" w:ascii="华文细黑" w:hAnsi="华文细黑" w:eastAsia="华文细黑" w:cs="华文细黑"/>
        </w:rPr>
        <w:t>4．乙方施工过程中造成自身或他人人身、财产损失的，由乙方承担全部责任，给甲方造成损失的，甲方有权向乙方追偿。</w:t>
      </w:r>
    </w:p>
    <w:p w14:paraId="3630E69D">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5．乙方应做好对施工完成品的保护工作。</w:t>
      </w:r>
    </w:p>
    <w:p w14:paraId="62CEBCE2">
      <w:pPr>
        <w:spacing w:line="480" w:lineRule="exact"/>
        <w:rPr>
          <w:rFonts w:ascii="华文细黑" w:hAnsi="华文细黑" w:eastAsia="华文细黑" w:cs="华文细黑"/>
        </w:rPr>
      </w:pPr>
      <w:r>
        <w:rPr>
          <w:rFonts w:hint="eastAsia" w:ascii="华文细黑" w:hAnsi="华文细黑" w:eastAsia="华文细黑" w:cs="华文细黑"/>
        </w:rPr>
        <w:t>6.乙方交通工具自备，所有安全责任自负，与甲方无涉。</w:t>
      </w:r>
    </w:p>
    <w:p w14:paraId="44596041">
      <w:pPr>
        <w:spacing w:line="480" w:lineRule="exact"/>
        <w:rPr>
          <w:rFonts w:ascii="华文细黑" w:hAnsi="华文细黑" w:eastAsia="华文细黑" w:cs="华文细黑"/>
        </w:rPr>
      </w:pPr>
      <w:r>
        <w:rPr>
          <w:rFonts w:hint="eastAsia" w:ascii="华文细黑" w:hAnsi="华文细黑" w:eastAsia="华文细黑" w:cs="华文细黑"/>
        </w:rPr>
        <w:t>7.乙方维修工作中用水、用电、动火等必须注意安全，如乙方因此而造成相关后果，由乙方负责。</w:t>
      </w:r>
    </w:p>
    <w:p w14:paraId="1E3B88A5">
      <w:pPr>
        <w:pStyle w:val="19"/>
        <w:spacing w:line="480" w:lineRule="exact"/>
        <w:rPr>
          <w:rFonts w:ascii="华文细黑" w:hAnsi="华文细黑" w:eastAsia="华文细黑" w:cs="华文细黑"/>
          <w:b/>
        </w:rPr>
      </w:pPr>
      <w:r>
        <w:rPr>
          <w:rFonts w:hint="eastAsia" w:ascii="华文细黑" w:hAnsi="华文细黑" w:eastAsia="华文细黑" w:cs="华文细黑"/>
          <w:b/>
        </w:rPr>
        <w:t>第六条 工程价款支付及工期的约定</w:t>
      </w:r>
    </w:p>
    <w:p w14:paraId="4C2321EE">
      <w:pPr>
        <w:pStyle w:val="19"/>
        <w:spacing w:line="480" w:lineRule="exact"/>
        <w:rPr>
          <w:rFonts w:ascii="华文细黑" w:hAnsi="华文细黑" w:eastAsia="华文细黑" w:cs="华文细黑"/>
          <w:bCs/>
        </w:rPr>
      </w:pPr>
      <w:r>
        <w:rPr>
          <w:rFonts w:hint="eastAsia" w:ascii="华文细黑" w:hAnsi="华文细黑" w:eastAsia="华文细黑" w:cs="华文细黑"/>
          <w:bCs/>
        </w:rPr>
        <w:t>1.自合同签订之日起</w:t>
      </w:r>
      <w:r>
        <w:rPr>
          <w:rFonts w:hint="eastAsia" w:ascii="华文细黑" w:hAnsi="华文细黑" w:eastAsia="华文细黑" w:cs="华文细黑"/>
          <w:bCs/>
          <w:u w:val="single"/>
        </w:rPr>
        <w:t xml:space="preserve">     </w:t>
      </w:r>
      <w:r>
        <w:rPr>
          <w:rFonts w:hint="eastAsia" w:ascii="华文细黑" w:hAnsi="华文细黑" w:eastAsia="华文细黑" w:cs="华文细黑"/>
          <w:bCs/>
        </w:rPr>
        <w:t>日内</w:t>
      </w:r>
      <w:r>
        <w:rPr>
          <w:rFonts w:hint="eastAsia" w:ascii="Times New Roman" w:hAnsi="Times New Roman" w:cs="Times New Roman"/>
          <w:bCs/>
        </w:rPr>
        <w:t>通过竣工验收</w:t>
      </w:r>
      <w:r>
        <w:rPr>
          <w:rFonts w:hint="eastAsia" w:ascii="华文细黑" w:hAnsi="华文细黑" w:eastAsia="华文细黑" w:cs="华文细黑"/>
          <w:bCs/>
        </w:rPr>
        <w:t>。</w:t>
      </w:r>
    </w:p>
    <w:p w14:paraId="1D536064">
      <w:pPr>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ascii="华文细黑" w:hAnsi="华文细黑" w:eastAsia="华文细黑" w:cs="华文细黑"/>
        </w:rPr>
      </w:pPr>
      <w:r>
        <w:rPr>
          <w:rFonts w:hint="eastAsia" w:ascii="华文细黑" w:hAnsi="华文细黑" w:eastAsia="华文细黑" w:cs="华文细黑"/>
          <w:b w:val="0"/>
          <w:bCs w:val="0"/>
          <w:color w:val="auto"/>
          <w:sz w:val="24"/>
          <w:szCs w:val="24"/>
          <w:highlight w:val="cyan"/>
        </w:rPr>
        <w:t>2 .</w:t>
      </w:r>
      <w:r>
        <w:rPr>
          <w:rFonts w:hint="eastAsia" w:ascii="宋体" w:hAnsi="宋体" w:eastAsia="宋体" w:cs="宋体"/>
          <w:sz w:val="24"/>
          <w:szCs w:val="24"/>
          <w:highlight w:val="cyan"/>
          <w:lang w:val="en-US" w:eastAsia="zh-CN"/>
        </w:rPr>
        <w:t>验收结束后，付款至合同价的80%，余款在</w:t>
      </w:r>
      <w:r>
        <w:rPr>
          <w:rFonts w:hint="eastAsia" w:ascii="宋体" w:hAnsi="宋体" w:cs="宋体"/>
          <w:sz w:val="24"/>
          <w:szCs w:val="24"/>
          <w:highlight w:val="cyan"/>
          <w:lang w:val="en-US" w:eastAsia="zh-CN"/>
        </w:rPr>
        <w:t>2年</w:t>
      </w:r>
      <w:r>
        <w:rPr>
          <w:rFonts w:hint="eastAsia" w:ascii="宋体" w:hAnsi="宋体" w:eastAsia="宋体" w:cs="宋体"/>
          <w:sz w:val="24"/>
          <w:szCs w:val="24"/>
          <w:highlight w:val="cyan"/>
          <w:lang w:val="en-US" w:eastAsia="zh-CN"/>
        </w:rPr>
        <w:t>后一次性付清。</w:t>
      </w:r>
    </w:p>
    <w:p w14:paraId="2B3B3735">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第七条 其它事项</w:t>
      </w:r>
    </w:p>
    <w:p w14:paraId="137BE3F8">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1．甲方工作：</w:t>
      </w:r>
    </w:p>
    <w:p w14:paraId="5C1D4EFB">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（1）甲方应在开工前向乙方提供施工需用的水、电等必备条件，并说明使用注意事项，向乙方进行现场交底，施工用水、电、气费由甲方承担。</w:t>
      </w:r>
    </w:p>
    <w:p w14:paraId="4AAA68FF">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（2）做好施工中因临时使用公用部位操作影响邻里关系等的协调工作。</w:t>
      </w:r>
    </w:p>
    <w:p w14:paraId="6BDDDCBE">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Times New Roman" w:hAnsi="Times New Roman" w:cs="Times New Roman"/>
        </w:rPr>
        <w:t>（3）甲方有权进入施工现场检查工程进度与质量。</w:t>
      </w:r>
    </w:p>
    <w:p w14:paraId="08758208">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2．乙方工作：</w:t>
      </w:r>
    </w:p>
    <w:p w14:paraId="42094E39">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bCs/>
        </w:rPr>
        <w:t>（1）施工前，</w:t>
      </w:r>
      <w:r>
        <w:rPr>
          <w:rFonts w:hint="eastAsia" w:ascii="Times New Roman" w:hAnsi="Times New Roman"/>
          <w:bCs/>
        </w:rPr>
        <w:t>乙方应当将施工方案告知甲方，经甲方批准后方可进行，</w:t>
      </w:r>
      <w:r>
        <w:rPr>
          <w:rFonts w:hint="eastAsia" w:ascii="华文细黑" w:hAnsi="华文细黑" w:eastAsia="华文细黑" w:cs="华文细黑"/>
        </w:rPr>
        <w:t>乙方须至甲方保卫科领取《施工证申请表》。甲方保卫科约请牵头职能科室、院感科、信息科签字同意后，向乙方发放《施工证》，并收取安全施工保证金。工作中如动火，乙方须至甲方保卫科报备（每次）。</w:t>
      </w:r>
    </w:p>
    <w:p w14:paraId="6002E56A">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rPr>
        <w:t>（2）乙方凭《施工证》方可进行施工，施工前应与甲方工程所属科室负责人协商具体施工事项，确保医疗秩序与医疗安全不受影响。</w:t>
      </w:r>
    </w:p>
    <w:p w14:paraId="65D2C46A">
      <w:pPr>
        <w:snapToGrid w:val="0"/>
        <w:spacing w:line="480" w:lineRule="exact"/>
        <w:ind w:firstLine="480" w:firstLineChars="200"/>
        <w:textAlignment w:val="baseline"/>
        <w:rPr>
          <w:rFonts w:ascii="华文细黑" w:hAnsi="华文细黑" w:eastAsia="华文细黑" w:cs="华文细黑"/>
        </w:rPr>
      </w:pPr>
      <w:r>
        <w:rPr>
          <w:rFonts w:hint="eastAsia" w:ascii="华文细黑" w:hAnsi="华文细黑" w:eastAsia="华文细黑" w:cs="华文细黑"/>
        </w:rPr>
        <w:t>（3）项目完成后，甲方工程所属科室应在《施工证》上签署验收信息并签字确认。乙方将《施工证》交至甲方保卫科，甲方保卫科退还安全施工保证金。</w:t>
      </w:r>
    </w:p>
    <w:p w14:paraId="02777D4E">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（4）按要求组织施工，保质、保量、按期完成施工任务。</w:t>
      </w:r>
    </w:p>
    <w:p w14:paraId="705414C0">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（5）对甲方滞留在现场的设备、家具、陈设等在施工过程中注意保护。</w:t>
      </w:r>
    </w:p>
    <w:p w14:paraId="32116358">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（6）设备进场通知甲方，将施工方案向甲方交底，经甲方确认后进行施工，对甲方在现场检查中发现的问题立即进行相应整改，配合甲方完成必要的拍照工作。</w:t>
      </w:r>
    </w:p>
    <w:p w14:paraId="39E703F6">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第八条 违约责任</w:t>
      </w:r>
    </w:p>
    <w:p w14:paraId="308005BF">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1．甲方未按合同约定时间付款的，每逾期一天向乙方支付</w:t>
      </w:r>
      <w:r>
        <w:rPr>
          <w:rFonts w:hint="eastAsia" w:ascii="华文细黑" w:hAnsi="华文细黑" w:eastAsia="华文细黑" w:cs="华文细黑"/>
          <w:u w:val="single"/>
        </w:rPr>
        <w:t xml:space="preserve">  /  </w:t>
      </w:r>
      <w:r>
        <w:rPr>
          <w:rFonts w:hint="eastAsia" w:ascii="华文细黑" w:hAnsi="华文细黑" w:eastAsia="华文细黑" w:cs="华文细黑"/>
        </w:rPr>
        <w:t xml:space="preserve">元的违约金。 </w:t>
      </w:r>
    </w:p>
    <w:p w14:paraId="2F01F963">
      <w:pPr>
        <w:pStyle w:val="19"/>
        <w:spacing w:before="0" w:beforeAutospacing="0" w:after="0" w:afterAutospacing="0" w:line="480" w:lineRule="exact"/>
        <w:rPr>
          <w:rFonts w:ascii="Times New Roman" w:hAnsi="Times New Roman" w:cs="Times New Roman"/>
        </w:rPr>
      </w:pPr>
      <w:r>
        <w:rPr>
          <w:rFonts w:hint="eastAsia" w:ascii="华文细黑" w:hAnsi="华文细黑" w:eastAsia="华文细黑" w:cs="华文细黑"/>
        </w:rPr>
        <w:t>2．由于乙方原因逾期竣工的，每逾期一天，乙方向甲方支付</w:t>
      </w:r>
      <w:r>
        <w:rPr>
          <w:rFonts w:hint="eastAsia" w:ascii="华文细黑" w:hAnsi="华文细黑" w:eastAsia="华文细黑" w:cs="华文细黑"/>
          <w:u w:val="single"/>
        </w:rPr>
        <w:t xml:space="preserve">   / </w:t>
      </w:r>
      <w:r>
        <w:rPr>
          <w:rFonts w:hint="eastAsia" w:ascii="华文细黑" w:hAnsi="华文细黑" w:eastAsia="华文细黑" w:cs="华文细黑"/>
        </w:rPr>
        <w:t>元违约金。</w:t>
      </w:r>
      <w:r>
        <w:rPr>
          <w:rFonts w:hint="eastAsia" w:ascii="Times New Roman" w:hAnsi="Times New Roman" w:cs="Times New Roman"/>
        </w:rPr>
        <w:t>由于乙方原因未能按期开工的，应当以书面形式告知甲方，并承担因延期开工产生的损失。</w:t>
      </w:r>
    </w:p>
    <w:p w14:paraId="029D0FDB">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3. 乙方超过计划竣工日期</w:t>
      </w:r>
      <w:r>
        <w:rPr>
          <w:rFonts w:hint="eastAsia" w:ascii="华文细黑" w:hAnsi="华文细黑" w:eastAsia="华文细黑" w:cs="华文细黑"/>
          <w:u w:val="single"/>
        </w:rPr>
        <w:t xml:space="preserve">  </w:t>
      </w:r>
      <w:r>
        <w:rPr>
          <w:rFonts w:hint="eastAsia" w:ascii="华文细黑" w:hAnsi="华文细黑" w:eastAsia="华文细黑" w:cs="华文细黑"/>
        </w:rPr>
        <w:t>日以上仍未能竣工且非甲方原因造成的，甲方有权解除本合同，乙方应向甲方支付合同价</w:t>
      </w:r>
      <w:r>
        <w:rPr>
          <w:rFonts w:hint="eastAsia" w:ascii="华文细黑" w:hAnsi="华文细黑" w:eastAsia="华文细黑" w:cs="华文细黑"/>
          <w:u w:val="single"/>
        </w:rPr>
        <w:t xml:space="preserve">  %</w:t>
      </w:r>
      <w:r>
        <w:rPr>
          <w:rFonts w:hint="eastAsia" w:ascii="华文细黑" w:hAnsi="华文细黑" w:eastAsia="华文细黑" w:cs="华文细黑"/>
        </w:rPr>
        <w:t>的违约金，同时赔偿甲方的一切损失。</w:t>
      </w:r>
    </w:p>
    <w:p w14:paraId="32A92FFB">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4．甲方未办理有关手续，强行要求乙方拆改原有建筑承重结构及共用设备管线，由此发生的损失或事故（包括罚款）由甲方负责并承担责任。</w:t>
      </w:r>
    </w:p>
    <w:p w14:paraId="016E78B6">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5．乙方擅自拆改原有建筑承重结构或共用设备管线，由此发生的损失或事故（包括罚款），由乙方负责并承担责任。</w:t>
      </w:r>
    </w:p>
    <w:p w14:paraId="2581F953">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6．工程未办理验收、结算手续，甲方提前使用或擅自动用工程由此造成无法验收和损失的，由甲方负责。</w:t>
      </w:r>
    </w:p>
    <w:p w14:paraId="22FBA482">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7．工程关键节点未办理验收，乙方提前进行下一阶段工程施工，由此造成损失的，由乙方负责。</w:t>
      </w:r>
    </w:p>
    <w:p w14:paraId="31128C98">
      <w:pPr>
        <w:pStyle w:val="19"/>
        <w:spacing w:before="0" w:beforeAutospacing="0" w:after="0" w:afterAutospacing="0" w:line="480" w:lineRule="exact"/>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因乙方原因工程未能验收合格的，乙方应向甲方承担二次验收前每日</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元的逾期验收违约金；二次验收仍不合格的，甲方有权解除本合同，同时，乙方应向甲方承担工程总价款</w:t>
      </w:r>
      <w:r>
        <w:rPr>
          <w:rFonts w:hint="eastAsia" w:ascii="Times New Roman" w:hAnsi="Times New Roman" w:cs="Times New Roman"/>
          <w:u w:val="single"/>
        </w:rPr>
        <w:t xml:space="preserve">    </w:t>
      </w:r>
      <w:r>
        <w:rPr>
          <w:rFonts w:ascii="Times New Roman" w:hAnsi="Times New Roman" w:cs="Times New Roman"/>
          <w:u w:val="single"/>
        </w:rPr>
        <w:t>%</w:t>
      </w:r>
      <w:r>
        <w:rPr>
          <w:rFonts w:hint="eastAsia" w:ascii="Times New Roman" w:hAnsi="Times New Roman" w:cs="Times New Roman"/>
        </w:rPr>
        <w:t>的违约金，给甲方造成损失的，还应赔偿甲方一切经济损失。</w:t>
      </w:r>
    </w:p>
    <w:p w14:paraId="58D19667">
      <w:pPr>
        <w:pStyle w:val="19"/>
        <w:spacing w:before="0" w:beforeAutospacing="0" w:after="0" w:afterAutospacing="0" w:line="480" w:lineRule="exact"/>
        <w:rPr>
          <w:rFonts w:ascii="华文细黑" w:hAnsi="华文细黑" w:eastAsia="华文细黑" w:cs="华文细黑"/>
          <w:b/>
          <w:bCs/>
        </w:rPr>
      </w:pPr>
      <w:r>
        <w:rPr>
          <w:rFonts w:ascii="Times New Roman" w:hAnsi="Times New Roman" w:cs="Times New Roman"/>
        </w:rPr>
        <w:t>9.</w:t>
      </w:r>
      <w:r>
        <w:rPr>
          <w:rFonts w:hint="eastAsia" w:ascii="Times New Roman" w:hAnsi="Times New Roman" w:cs="Times New Roman"/>
        </w:rPr>
        <w:t>本工程不得转包，如有违反，甲方有权解除本合同，同时，乙方应向甲方承担工程总价款</w:t>
      </w:r>
      <w:r>
        <w:rPr>
          <w:rFonts w:hint="eastAsia" w:ascii="Times New Roman" w:hAnsi="Times New Roman" w:cs="Times New Roman"/>
          <w:u w:val="single"/>
        </w:rPr>
        <w:t xml:space="preserve">    %</w:t>
      </w:r>
      <w:r>
        <w:rPr>
          <w:rFonts w:hint="eastAsia" w:ascii="Times New Roman" w:hAnsi="Times New Roman" w:cs="Times New Roman"/>
        </w:rPr>
        <w:t>的违约金，给甲方造成损失的，还应赔偿甲方一切经济损失</w:t>
      </w:r>
      <w:r>
        <w:rPr>
          <w:rFonts w:hint="eastAsia" w:ascii="Times New Roman" w:hAnsi="Times New Roman" w:cs="Times New Roman"/>
          <w:b/>
          <w:bCs/>
        </w:rPr>
        <w:t>。</w:t>
      </w:r>
      <w:r>
        <w:rPr>
          <w:rFonts w:hint="eastAsia" w:ascii="华文细黑" w:hAnsi="华文细黑" w:eastAsia="华文细黑" w:cs="华文细黑"/>
          <w:b/>
          <w:bCs/>
        </w:rPr>
        <w:t>第九条  关于工程变更、增补的约定</w:t>
      </w:r>
    </w:p>
    <w:p w14:paraId="0D9AA3ED">
      <w:pPr>
        <w:spacing w:line="480" w:lineRule="exact"/>
      </w:pPr>
      <w:r>
        <w:rPr>
          <w:rFonts w:hint="eastAsia" w:ascii="华文细黑" w:hAnsi="华文细黑" w:eastAsia="华文细黑" w:cs="华文细黑"/>
        </w:rPr>
        <w:t>1. 本工程无变更、增补。</w:t>
      </w:r>
    </w:p>
    <w:p w14:paraId="6C8DF4C1">
      <w:pPr>
        <w:spacing w:line="480" w:lineRule="exact"/>
        <w:rPr>
          <w:rFonts w:ascii="华文细黑" w:hAnsi="华文细黑" w:eastAsia="华文细黑" w:cs="华文细黑"/>
        </w:rPr>
      </w:pPr>
      <w:r>
        <w:rPr>
          <w:rFonts w:hint="eastAsia" w:ascii="华文细黑" w:hAnsi="华文细黑" w:eastAsia="华文细黑" w:cs="华文细黑"/>
        </w:rPr>
        <w:t>2. 若因甲方及不可抗力因素产生的变更、增补，则变更、增补部分需接受完工审计。</w:t>
      </w:r>
    </w:p>
    <w:p w14:paraId="0D1A75BA">
      <w:pPr>
        <w:spacing w:line="480" w:lineRule="exact"/>
        <w:ind w:left="547" w:leftChars="228"/>
        <w:rPr>
          <w:rFonts w:ascii="华文细黑" w:hAnsi="华文细黑" w:eastAsia="华文细黑" w:cs="华文细黑"/>
        </w:rPr>
      </w:pPr>
      <w:r>
        <w:rPr>
          <w:rFonts w:hint="eastAsia" w:ascii="华文细黑" w:hAnsi="华文细黑" w:eastAsia="华文细黑" w:cs="华文细黑"/>
        </w:rPr>
        <w:t>1）变更、增补需多方办理签认确定手续（含影像资料），作为审计结算依据；</w:t>
      </w:r>
    </w:p>
    <w:p w14:paraId="3E29DFD1">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2）材料价格依据施工期《镇江工程造价信息》，信息价没有的参照市场价；</w:t>
      </w:r>
    </w:p>
    <w:p w14:paraId="239A5216">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3）人工单价执行省住建厅关于发布建设工程人工工资指导价；</w:t>
      </w:r>
    </w:p>
    <w:p w14:paraId="50D6B3B9">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4）因甲方项目需求调整、设计修改及不可抗力因素产生的工程签证单所涉及的签证内容，根据相关定额和计价规定计算出总价后，按中标价与招标控制价下浮比例作同比例下浮；</w:t>
      </w:r>
    </w:p>
    <w:p w14:paraId="5DB6714E">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5）工程税金计取采用一般计税或简易计税方式。</w:t>
      </w:r>
    </w:p>
    <w:p w14:paraId="1DF60153">
      <w:pPr>
        <w:spacing w:line="480" w:lineRule="exact"/>
        <w:ind w:firstLine="480" w:firstLineChars="200"/>
        <w:rPr>
          <w:rFonts w:ascii="华文细黑" w:hAnsi="华文细黑" w:eastAsia="华文细黑" w:cs="华文细黑"/>
        </w:rPr>
      </w:pPr>
      <w:r>
        <w:rPr>
          <w:rFonts w:hint="eastAsia" w:ascii="华文细黑" w:hAnsi="华文细黑" w:eastAsia="华文细黑" w:cs="华文细黑"/>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50189746">
      <w:pPr>
        <w:pStyle w:val="25"/>
        <w:spacing w:line="480" w:lineRule="exact"/>
        <w:ind w:left="0" w:leftChars="0" w:firstLine="0" w:firstLineChars="0"/>
        <w:rPr>
          <w:rFonts w:ascii="华文细黑" w:hAnsi="华文细黑" w:eastAsia="华文细黑" w:cs="华文细黑"/>
          <w:b/>
          <w:bCs/>
          <w:highlight w:val="none"/>
        </w:rPr>
      </w:pPr>
      <w:r>
        <w:rPr>
          <w:rFonts w:hint="eastAsia" w:ascii="华文细黑" w:hAnsi="华文细黑" w:eastAsia="华文细黑" w:cs="华文细黑"/>
          <w:b/>
          <w:bCs/>
          <w:highlight w:val="none"/>
        </w:rPr>
        <w:t>第十条：关于审计的约定</w:t>
      </w:r>
    </w:p>
    <w:p w14:paraId="13B66D5F">
      <w:pPr>
        <w:numPr>
          <w:ilvl w:val="0"/>
          <w:numId w:val="11"/>
        </w:numPr>
        <w:spacing w:line="480" w:lineRule="exact"/>
        <w:rPr>
          <w:rFonts w:hint="eastAsia" w:ascii="华文细黑" w:hAnsi="华文细黑" w:eastAsia="华文细黑" w:cs="华文细黑"/>
          <w:highlight w:val="cyan"/>
        </w:rPr>
      </w:pPr>
      <w:r>
        <w:rPr>
          <w:rFonts w:hint="eastAsia" w:ascii="华文细黑" w:hAnsi="华文细黑" w:eastAsia="华文细黑" w:cs="华文细黑"/>
          <w:highlight w:val="cyan"/>
        </w:rPr>
        <w:t>本工程由甲方采购中心公开招标，不审计。若因甲方及不可抗力因素产生的变更、增补，则变更、增补部分需接受完工审计。</w:t>
      </w:r>
    </w:p>
    <w:p w14:paraId="09287BB1">
      <w:pPr>
        <w:numPr>
          <w:ilvl w:val="0"/>
          <w:numId w:val="0"/>
        </w:numPr>
        <w:spacing w:line="480" w:lineRule="exact"/>
        <w:rPr>
          <w:rFonts w:ascii="华文细黑" w:hAnsi="华文细黑" w:eastAsia="华文细黑" w:cs="华文细黑"/>
          <w:b/>
        </w:rPr>
      </w:pPr>
      <w:r>
        <w:rPr>
          <w:rFonts w:hint="eastAsia" w:ascii="华文细黑" w:hAnsi="华文细黑" w:eastAsia="华文细黑" w:cs="华文细黑"/>
          <w:b/>
        </w:rPr>
        <w:t>第十一条 纠纷处理方式</w:t>
      </w:r>
    </w:p>
    <w:p w14:paraId="13445CD7">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因工程各项事务甲乙双方发生争议时，双方协商解决。</w:t>
      </w:r>
    </w:p>
    <w:p w14:paraId="70A2BDDE">
      <w:pPr>
        <w:pStyle w:val="19"/>
        <w:spacing w:before="0" w:beforeAutospacing="0" w:after="0" w:afterAutospacing="0" w:line="480" w:lineRule="exact"/>
        <w:rPr>
          <w:rFonts w:ascii="华文细黑" w:hAnsi="华文细黑" w:eastAsia="华文细黑" w:cs="华文细黑"/>
          <w:b/>
        </w:rPr>
      </w:pPr>
      <w:r>
        <w:rPr>
          <w:rFonts w:hint="eastAsia" w:ascii="华文细黑" w:hAnsi="华文细黑" w:eastAsia="华文细黑" w:cs="华文细黑"/>
          <w:b/>
        </w:rPr>
        <w:t>第十二条 合同的变更和解除</w:t>
      </w:r>
    </w:p>
    <w:p w14:paraId="00A72C27">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ascii="华文细黑" w:hAnsi="华文细黑" w:eastAsia="华文细黑" w:cs="华文细黑"/>
          <w:u w:val="single"/>
        </w:rPr>
        <w:t>%</w:t>
      </w:r>
      <w:r>
        <w:rPr>
          <w:rFonts w:hint="eastAsia" w:ascii="华文细黑" w:hAnsi="华文细黑" w:eastAsia="华文细黑" w:cs="华文细黑"/>
        </w:rPr>
        <w:t>支付违约金，并办理终止合同手续。</w:t>
      </w:r>
    </w:p>
    <w:p w14:paraId="2C0AAB01">
      <w:pPr>
        <w:pStyle w:val="19"/>
        <w:spacing w:before="0" w:beforeAutospacing="0" w:after="0" w:afterAutospacing="0" w:line="480" w:lineRule="exact"/>
        <w:ind w:firstLine="480" w:firstLineChars="200"/>
        <w:rPr>
          <w:rFonts w:ascii="华文细黑" w:hAnsi="华文细黑" w:eastAsia="华文细黑" w:cs="华文细黑"/>
        </w:rPr>
      </w:pPr>
      <w:r>
        <w:rPr>
          <w:rFonts w:hint="eastAsia" w:ascii="华文细黑" w:hAnsi="华文细黑" w:eastAsia="华文细黑" w:cs="华文细黑"/>
        </w:rPr>
        <w:t>2．施工过程中任何一方提出终止合同，须向另一方以书面形式提出，经双方同意办理清算手续，订立终止合同协议，解除本合同。</w:t>
      </w:r>
    </w:p>
    <w:p w14:paraId="4F7ECCEE">
      <w:pPr>
        <w:pStyle w:val="19"/>
        <w:spacing w:before="0" w:beforeAutospacing="0" w:after="0" w:afterAutospacing="0" w:line="480" w:lineRule="exact"/>
        <w:ind w:firstLine="480" w:firstLineChars="200"/>
        <w:rPr>
          <w:rFonts w:ascii="华文细黑" w:hAnsi="华文细黑" w:eastAsia="华文细黑" w:cs="华文细黑"/>
          <w:b/>
        </w:rPr>
      </w:pPr>
      <w:r>
        <w:rPr>
          <w:rFonts w:hint="eastAsia" w:ascii="华文细黑" w:hAnsi="华文细黑" w:eastAsia="华文细黑" w:cs="华文细黑"/>
          <w:b/>
        </w:rPr>
        <w:t>第十三条 附则</w:t>
      </w:r>
    </w:p>
    <w:p w14:paraId="20E569B0">
      <w:pPr>
        <w:pStyle w:val="19"/>
        <w:spacing w:before="0" w:beforeAutospacing="0" w:after="0" w:afterAutospacing="0" w:line="480" w:lineRule="exact"/>
        <w:ind w:firstLine="480" w:firstLineChars="200"/>
        <w:rPr>
          <w:rFonts w:ascii="华文细黑" w:hAnsi="华文细黑" w:eastAsia="华文细黑" w:cs="华文细黑"/>
        </w:rPr>
      </w:pPr>
      <w:r>
        <w:rPr>
          <w:rFonts w:ascii="华文细黑" w:hAnsi="华文细黑" w:eastAsia="华文细黑" w:cs="华文细黑"/>
        </w:rPr>
        <w:t>1</w:t>
      </w:r>
      <w:r>
        <w:rPr>
          <w:rFonts w:hint="eastAsia" w:ascii="华文细黑" w:hAnsi="华文细黑" w:eastAsia="华文细黑" w:cs="华文细黑"/>
        </w:rPr>
        <w:t>．本合同一式</w:t>
      </w:r>
      <w:r>
        <w:rPr>
          <w:rFonts w:hint="eastAsia" w:ascii="华文细黑" w:hAnsi="华文细黑" w:eastAsia="华文细黑" w:cs="华文细黑"/>
          <w:u w:val="single"/>
        </w:rPr>
        <w:t xml:space="preserve">  二  </w:t>
      </w:r>
      <w:r>
        <w:rPr>
          <w:rFonts w:hint="eastAsia" w:ascii="华文细黑" w:hAnsi="华文细黑" w:eastAsia="华文细黑" w:cs="华文细黑"/>
        </w:rPr>
        <w:t>份，甲、乙双方各执一份，合同附件为本合同的组成部分，具有同等的法律效力。</w:t>
      </w:r>
    </w:p>
    <w:p w14:paraId="55D62BDC">
      <w:pPr>
        <w:pStyle w:val="19"/>
        <w:spacing w:before="0" w:beforeAutospacing="0" w:after="0" w:afterAutospacing="0" w:line="480" w:lineRule="exact"/>
        <w:ind w:firstLine="480" w:firstLineChars="200"/>
      </w:pPr>
      <w:r>
        <w:rPr>
          <w:rFonts w:ascii="华文细黑" w:hAnsi="华文细黑" w:eastAsia="华文细黑" w:cs="华文细黑"/>
        </w:rPr>
        <w:t>2</w:t>
      </w:r>
      <w:r>
        <w:rPr>
          <w:rFonts w:hint="eastAsia" w:ascii="华文细黑" w:hAnsi="华文细黑" w:eastAsia="华文细黑" w:cs="华文细黑"/>
        </w:rPr>
        <w:t>．</w:t>
      </w:r>
      <w:r>
        <w:t>未尽事宜，由双方友好协商解决，协商不成的，</w:t>
      </w:r>
      <w:bookmarkStart w:id="3" w:name="_Hlk146786101"/>
      <w:r>
        <w:rPr>
          <w:rFonts w:hint="eastAsia"/>
        </w:rPr>
        <w:t>可向甲方所在地人民法院提起诉讼，权利方支出的诉讼费用、律师代理费、保函费、交通费等合理费用由败诉方承担。</w:t>
      </w:r>
      <w:bookmarkEnd w:id="3"/>
    </w:p>
    <w:p w14:paraId="0C487959">
      <w:pPr>
        <w:pStyle w:val="19"/>
        <w:spacing w:before="0" w:beforeAutospacing="0" w:after="0" w:afterAutospacing="0" w:line="480" w:lineRule="exact"/>
        <w:rPr>
          <w:rFonts w:ascii="华文细黑" w:hAnsi="华文细黑" w:eastAsia="华文细黑" w:cs="华文细黑"/>
        </w:rPr>
      </w:pPr>
      <w:r>
        <w:rPr>
          <w:rFonts w:hint="eastAsia" w:ascii="华文细黑" w:hAnsi="华文细黑" w:eastAsia="华文细黑" w:cs="华文细黑"/>
        </w:rPr>
        <w:t>甲方（盖章）：                        乙方（盖章）：</w:t>
      </w:r>
    </w:p>
    <w:p w14:paraId="21492AF2">
      <w:pPr>
        <w:pStyle w:val="19"/>
        <w:spacing w:line="480" w:lineRule="exact"/>
        <w:rPr>
          <w:rFonts w:ascii="华文细黑" w:hAnsi="华文细黑" w:eastAsia="华文细黑" w:cs="华文细黑"/>
        </w:rPr>
      </w:pPr>
      <w:r>
        <w:rPr>
          <w:rFonts w:hint="eastAsia" w:ascii="华文细黑" w:hAnsi="华文细黑" w:eastAsia="华文细黑" w:cs="华文细黑"/>
        </w:rPr>
        <w:t>甲方代表（签字盖章）：                乙方代表（签字盖章）：</w:t>
      </w:r>
    </w:p>
    <w:p w14:paraId="7D87F0D0">
      <w:pPr>
        <w:spacing w:line="480" w:lineRule="exact"/>
        <w:rPr>
          <w:rFonts w:ascii="华文细黑" w:hAnsi="华文细黑" w:eastAsia="华文细黑" w:cs="华文细黑"/>
        </w:rPr>
      </w:pPr>
      <w:r>
        <w:rPr>
          <w:rFonts w:hint="eastAsia" w:ascii="华文细黑" w:hAnsi="华文细黑" w:eastAsia="华文细黑" w:cs="华文细黑"/>
        </w:rPr>
        <w:t>日     期：                           日    期：</w:t>
      </w:r>
    </w:p>
    <w:p w14:paraId="4D4EAFB5">
      <w:pPr>
        <w:pStyle w:val="25"/>
        <w:spacing w:line="500" w:lineRule="exact"/>
        <w:ind w:firstLine="0"/>
      </w:pPr>
    </w:p>
    <w:p w14:paraId="0F612F85">
      <w:pPr>
        <w:pStyle w:val="25"/>
        <w:spacing w:line="500" w:lineRule="exact"/>
        <w:ind w:firstLine="0"/>
      </w:pPr>
    </w:p>
    <w:p w14:paraId="36C43944">
      <w:pPr>
        <w:pStyle w:val="25"/>
        <w:spacing w:line="500" w:lineRule="exact"/>
        <w:ind w:firstLine="0"/>
      </w:pPr>
    </w:p>
    <w:p w14:paraId="322ACB46">
      <w:pPr>
        <w:pStyle w:val="25"/>
        <w:spacing w:line="500" w:lineRule="exact"/>
        <w:ind w:firstLine="0"/>
      </w:pPr>
    </w:p>
    <w:p w14:paraId="012821B9">
      <w:pPr>
        <w:pStyle w:val="25"/>
        <w:spacing w:line="500" w:lineRule="exact"/>
        <w:ind w:firstLine="0"/>
      </w:pPr>
    </w:p>
    <w:p w14:paraId="650CE7A1">
      <w:pPr>
        <w:pStyle w:val="5"/>
        <w:jc w:val="center"/>
        <w:rPr>
          <w:sz w:val="32"/>
          <w:szCs w:val="32"/>
        </w:rPr>
      </w:pPr>
      <w:r>
        <w:rPr>
          <w:rFonts w:hint="eastAsia"/>
          <w:sz w:val="32"/>
          <w:szCs w:val="32"/>
        </w:rPr>
        <w:t>第二部分 谈判响应文件（格式如下）</w:t>
      </w:r>
    </w:p>
    <w:p w14:paraId="09F38952">
      <w:pPr>
        <w:pStyle w:val="25"/>
        <w:rPr>
          <w:sz w:val="32"/>
          <w:szCs w:val="32"/>
        </w:rPr>
      </w:pPr>
    </w:p>
    <w:p w14:paraId="3E73D60F">
      <w:pPr>
        <w:snapToGrid w:val="0"/>
        <w:spacing w:line="396" w:lineRule="atLeast"/>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t>高配房1号变压器有源滤波无功补偿柜维修采购项目</w:t>
      </w:r>
    </w:p>
    <w:p w14:paraId="660D8F30">
      <w:pPr>
        <w:snapToGrid w:val="0"/>
        <w:spacing w:line="396" w:lineRule="atLeast"/>
        <w:ind w:firstLine="4216"/>
        <w:jc w:val="center"/>
        <w:rPr>
          <w:rFonts w:ascii="微软雅黑" w:hAnsi="微软雅黑" w:eastAsia="微软雅黑" w:cs="微软雅黑"/>
          <w:sz w:val="32"/>
          <w:szCs w:val="32"/>
        </w:rPr>
      </w:pPr>
    </w:p>
    <w:p w14:paraId="09CBD914">
      <w:pPr>
        <w:pStyle w:val="25"/>
        <w:rPr>
          <w:rFonts w:ascii="微软雅黑" w:hAnsi="微软雅黑" w:eastAsia="微软雅黑" w:cs="微软雅黑"/>
          <w:sz w:val="32"/>
          <w:szCs w:val="32"/>
        </w:rPr>
      </w:pPr>
    </w:p>
    <w:p w14:paraId="7A8BB27B">
      <w:pPr>
        <w:pStyle w:val="25"/>
        <w:rPr>
          <w:rFonts w:ascii="微软雅黑" w:hAnsi="微软雅黑" w:eastAsia="微软雅黑" w:cs="微软雅黑"/>
          <w:sz w:val="32"/>
          <w:szCs w:val="32"/>
        </w:rPr>
      </w:pPr>
    </w:p>
    <w:p w14:paraId="03752429">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255F9CE8">
      <w:pPr>
        <w:snapToGrid w:val="0"/>
        <w:spacing w:line="396" w:lineRule="atLeast"/>
        <w:ind w:firstLine="4216"/>
        <w:rPr>
          <w:rFonts w:ascii="微软雅黑" w:hAnsi="微软雅黑" w:eastAsia="微软雅黑" w:cs="微软雅黑"/>
          <w:sz w:val="32"/>
          <w:szCs w:val="32"/>
        </w:rPr>
      </w:pPr>
    </w:p>
    <w:p w14:paraId="32904C47">
      <w:pPr>
        <w:snapToGrid w:val="0"/>
        <w:spacing w:line="396" w:lineRule="atLeast"/>
        <w:ind w:firstLine="4216"/>
        <w:rPr>
          <w:rFonts w:ascii="微软雅黑" w:hAnsi="微软雅黑" w:eastAsia="微软雅黑" w:cs="微软雅黑"/>
          <w:sz w:val="32"/>
          <w:szCs w:val="32"/>
        </w:rPr>
      </w:pPr>
    </w:p>
    <w:p w14:paraId="4C845B58">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DRY-CG-2025-005 </w:t>
      </w:r>
      <w:r>
        <w:rPr>
          <w:rFonts w:hint="eastAsia" w:ascii="微软雅黑" w:hAnsi="微软雅黑" w:eastAsia="微软雅黑" w:cs="微软雅黑"/>
          <w:sz w:val="32"/>
          <w:szCs w:val="32"/>
        </w:rPr>
        <w:t>）</w:t>
      </w:r>
    </w:p>
    <w:p w14:paraId="0AECEAC2">
      <w:pPr>
        <w:snapToGrid w:val="0"/>
        <w:spacing w:line="396" w:lineRule="atLeast"/>
        <w:ind w:firstLine="1827"/>
        <w:rPr>
          <w:rFonts w:ascii="微软雅黑" w:hAnsi="微软雅黑" w:eastAsia="微软雅黑" w:cs="微软雅黑"/>
          <w:sz w:val="32"/>
          <w:szCs w:val="32"/>
        </w:rPr>
      </w:pPr>
    </w:p>
    <w:p w14:paraId="4C923B54">
      <w:pPr>
        <w:snapToGrid w:val="0"/>
        <w:spacing w:line="396" w:lineRule="atLeast"/>
        <w:ind w:firstLine="1827"/>
        <w:jc w:val="center"/>
        <w:rPr>
          <w:rFonts w:ascii="微软雅黑" w:hAnsi="微软雅黑" w:eastAsia="微软雅黑" w:cs="微软雅黑"/>
          <w:sz w:val="32"/>
          <w:szCs w:val="32"/>
        </w:rPr>
      </w:pPr>
    </w:p>
    <w:p w14:paraId="6E8EDC7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2FE74349">
      <w:pPr>
        <w:snapToGrid w:val="0"/>
        <w:spacing w:line="396" w:lineRule="atLeast"/>
        <w:ind w:firstLine="1827"/>
        <w:jc w:val="center"/>
        <w:rPr>
          <w:rFonts w:ascii="微软雅黑" w:hAnsi="微软雅黑" w:eastAsia="微软雅黑" w:cs="微软雅黑"/>
          <w:sz w:val="32"/>
          <w:szCs w:val="32"/>
        </w:rPr>
      </w:pPr>
    </w:p>
    <w:p w14:paraId="73EBB265">
      <w:pPr>
        <w:pStyle w:val="25"/>
      </w:pPr>
    </w:p>
    <w:p w14:paraId="6E4C1434">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089FB594">
      <w:pPr>
        <w:snapToGrid w:val="0"/>
        <w:spacing w:line="396" w:lineRule="atLeast"/>
        <w:ind w:firstLine="1827"/>
        <w:jc w:val="center"/>
        <w:rPr>
          <w:rFonts w:ascii="宋体" w:hAnsi="宋体"/>
          <w:b/>
          <w:sz w:val="28"/>
          <w:szCs w:val="28"/>
        </w:rPr>
      </w:pPr>
    </w:p>
    <w:p w14:paraId="00CAF297">
      <w:pPr>
        <w:snapToGrid w:val="0"/>
        <w:spacing w:line="396" w:lineRule="atLeast"/>
        <w:ind w:firstLine="1827"/>
        <w:rPr>
          <w:rFonts w:ascii="宋体" w:hAnsi="宋体"/>
          <w:b/>
          <w:sz w:val="28"/>
          <w:szCs w:val="28"/>
        </w:rPr>
      </w:pPr>
    </w:p>
    <w:p w14:paraId="0CAA80E7">
      <w:pPr>
        <w:pStyle w:val="26"/>
        <w:ind w:firstLine="562"/>
        <w:rPr>
          <w:rFonts w:ascii="宋体" w:hAnsi="宋体"/>
          <w:b/>
          <w:sz w:val="28"/>
          <w:szCs w:val="28"/>
        </w:rPr>
      </w:pPr>
    </w:p>
    <w:p w14:paraId="49AEFB1F">
      <w:pPr>
        <w:pStyle w:val="2"/>
        <w:numPr>
          <w:ilvl w:val="0"/>
          <w:numId w:val="0"/>
        </w:numPr>
        <w:spacing w:before="120" w:after="120"/>
        <w:jc w:val="both"/>
        <w:rPr>
          <w:rFonts w:hint="default" w:cs="宋体"/>
          <w:sz w:val="32"/>
          <w:szCs w:val="32"/>
        </w:rPr>
      </w:pPr>
      <w:bookmarkStart w:id="4" w:name="_Toc9147"/>
    </w:p>
    <w:p w14:paraId="2D6FADCE"/>
    <w:p w14:paraId="0664F86D">
      <w:pPr>
        <w:pStyle w:val="2"/>
        <w:numPr>
          <w:ilvl w:val="0"/>
          <w:numId w:val="0"/>
        </w:numPr>
        <w:spacing w:before="120" w:after="120"/>
        <w:jc w:val="both"/>
        <w:rPr>
          <w:rFonts w:hint="default" w:cs="宋体"/>
          <w:sz w:val="32"/>
          <w:szCs w:val="32"/>
        </w:rPr>
      </w:pPr>
    </w:p>
    <w:p w14:paraId="4641E701">
      <w:pPr>
        <w:pStyle w:val="2"/>
        <w:numPr>
          <w:ilvl w:val="0"/>
          <w:numId w:val="0"/>
        </w:numPr>
        <w:spacing w:before="120" w:after="120"/>
        <w:jc w:val="center"/>
        <w:rPr>
          <w:rFonts w:hint="default" w:cs="宋体"/>
          <w:sz w:val="32"/>
          <w:szCs w:val="32"/>
        </w:rPr>
      </w:pPr>
    </w:p>
    <w:p w14:paraId="680D0760">
      <w:pPr>
        <w:rPr>
          <w:rFonts w:cs="宋体"/>
          <w:sz w:val="32"/>
          <w:szCs w:val="32"/>
        </w:rPr>
      </w:pPr>
      <w:r>
        <w:rPr>
          <w:rFonts w:cs="宋体"/>
          <w:sz w:val="32"/>
          <w:szCs w:val="32"/>
        </w:rPr>
        <w:br w:type="page"/>
      </w:r>
    </w:p>
    <w:p w14:paraId="3E6BA9CC">
      <w:pPr>
        <w:jc w:val="center"/>
        <w:rPr>
          <w:rStyle w:val="35"/>
        </w:rPr>
      </w:pPr>
      <w:r>
        <w:rPr>
          <w:rStyle w:val="35"/>
        </w:rPr>
        <w:t>投标文件目录</w:t>
      </w:r>
    </w:p>
    <w:p w14:paraId="54945D4E">
      <w:pPr>
        <w:numPr>
          <w:ilvl w:val="0"/>
          <w:numId w:val="12"/>
        </w:numPr>
        <w:spacing w:line="360" w:lineRule="auto"/>
        <w:rPr>
          <w:sz w:val="28"/>
          <w:szCs w:val="28"/>
        </w:rPr>
      </w:pPr>
      <w:r>
        <w:rPr>
          <w:sz w:val="28"/>
          <w:szCs w:val="28"/>
        </w:rPr>
        <w:t>投标函</w:t>
      </w:r>
    </w:p>
    <w:p w14:paraId="26BA7A33">
      <w:pPr>
        <w:numPr>
          <w:ilvl w:val="0"/>
          <w:numId w:val="12"/>
        </w:numPr>
        <w:spacing w:line="360" w:lineRule="auto"/>
        <w:rPr>
          <w:sz w:val="28"/>
          <w:szCs w:val="28"/>
        </w:rPr>
      </w:pPr>
      <w:r>
        <w:rPr>
          <w:rFonts w:hint="eastAsia"/>
          <w:sz w:val="28"/>
          <w:szCs w:val="28"/>
        </w:rPr>
        <w:t>谈判响应报价表</w:t>
      </w:r>
    </w:p>
    <w:p w14:paraId="151CD4C2">
      <w:pPr>
        <w:numPr>
          <w:ilvl w:val="0"/>
          <w:numId w:val="12"/>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4279F7FE">
      <w:pPr>
        <w:numPr>
          <w:ilvl w:val="0"/>
          <w:numId w:val="12"/>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3F9112F8">
      <w:pPr>
        <w:numPr>
          <w:ilvl w:val="0"/>
          <w:numId w:val="12"/>
        </w:numPr>
        <w:spacing w:line="360" w:lineRule="auto"/>
        <w:rPr>
          <w:sz w:val="28"/>
          <w:szCs w:val="28"/>
        </w:rPr>
      </w:pPr>
      <w:r>
        <w:rPr>
          <w:rFonts w:hint="eastAsia"/>
          <w:sz w:val="28"/>
          <w:szCs w:val="28"/>
        </w:rPr>
        <w:t>资格审查资料</w:t>
      </w:r>
    </w:p>
    <w:p w14:paraId="1EF965DA">
      <w:pPr>
        <w:numPr>
          <w:ilvl w:val="0"/>
          <w:numId w:val="12"/>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281FEC50">
      <w:pPr>
        <w:numPr>
          <w:ilvl w:val="0"/>
          <w:numId w:val="12"/>
        </w:numPr>
        <w:spacing w:line="360" w:lineRule="auto"/>
        <w:rPr>
          <w:sz w:val="28"/>
          <w:szCs w:val="28"/>
        </w:rPr>
      </w:pPr>
      <w:r>
        <w:rPr>
          <w:sz w:val="28"/>
          <w:szCs w:val="28"/>
        </w:rPr>
        <w:t>商务响应</w:t>
      </w:r>
      <w:r>
        <w:rPr>
          <w:rFonts w:hint="eastAsia"/>
          <w:sz w:val="28"/>
          <w:szCs w:val="28"/>
        </w:rPr>
        <w:t>偏离</w:t>
      </w:r>
      <w:r>
        <w:rPr>
          <w:sz w:val="28"/>
          <w:szCs w:val="28"/>
        </w:rPr>
        <w:t>表</w:t>
      </w:r>
    </w:p>
    <w:p w14:paraId="1F521980">
      <w:pPr>
        <w:rPr>
          <w:rFonts w:cs="宋体"/>
          <w:sz w:val="32"/>
          <w:szCs w:val="32"/>
        </w:rPr>
      </w:pPr>
    </w:p>
    <w:p w14:paraId="3F401612">
      <w:pPr>
        <w:pStyle w:val="2"/>
        <w:numPr>
          <w:ilvl w:val="0"/>
          <w:numId w:val="0"/>
        </w:numPr>
        <w:spacing w:before="120" w:after="120"/>
        <w:jc w:val="center"/>
        <w:rPr>
          <w:rFonts w:hint="default" w:cs="宋体"/>
          <w:sz w:val="32"/>
          <w:szCs w:val="32"/>
        </w:rPr>
        <w:sectPr>
          <w:pgSz w:w="11906" w:h="16838"/>
          <w:pgMar w:top="1100" w:right="1800" w:bottom="1157" w:left="1800" w:header="851" w:footer="992" w:gutter="0"/>
          <w:cols w:space="425" w:num="1"/>
          <w:docGrid w:type="lines" w:linePitch="312" w:charSpace="0"/>
        </w:sectPr>
      </w:pPr>
    </w:p>
    <w:p w14:paraId="08E7CA91">
      <w:pPr>
        <w:pStyle w:val="2"/>
        <w:numPr>
          <w:ilvl w:val="0"/>
          <w:numId w:val="0"/>
        </w:numPr>
        <w:spacing w:before="120" w:after="120"/>
        <w:jc w:val="center"/>
        <w:rPr>
          <w:rFonts w:hint="default" w:cs="宋体"/>
          <w:sz w:val="32"/>
          <w:szCs w:val="32"/>
        </w:rPr>
      </w:pPr>
      <w:r>
        <w:rPr>
          <w:rFonts w:cs="宋体"/>
          <w:sz w:val="32"/>
          <w:szCs w:val="32"/>
        </w:rPr>
        <w:t>一、投 标 函</w:t>
      </w:r>
      <w:bookmarkEnd w:id="4"/>
    </w:p>
    <w:p w14:paraId="1C5679D4">
      <w:pPr>
        <w:rPr>
          <w:sz w:val="28"/>
          <w:szCs w:val="28"/>
        </w:rPr>
      </w:pPr>
      <w:r>
        <w:rPr>
          <w:rFonts w:hint="eastAsia"/>
          <w:sz w:val="28"/>
          <w:szCs w:val="28"/>
          <w:u w:val="single"/>
        </w:rPr>
        <w:t>丹阳市人民医院:</w:t>
      </w:r>
      <w:r>
        <w:rPr>
          <w:rFonts w:hint="eastAsia"/>
          <w:sz w:val="28"/>
          <w:szCs w:val="28"/>
        </w:rPr>
        <w:t xml:space="preserve"> </w:t>
      </w:r>
    </w:p>
    <w:p w14:paraId="14B2F419">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22725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50227253"/>
                  </w:txbxContent>
                </v:textbox>
                <w10:wrap type="none"/>
                <w10:anchorlock/>
              </v:rect>
            </w:pict>
          </mc:Fallback>
        </mc:AlternateContent>
      </w:r>
      <w:r>
        <w:rPr>
          <w:rFonts w:hint="eastAsia" w:ascii="宋体" w:hAnsi="宋体" w:cs="宋体"/>
          <w:sz w:val="28"/>
          <w:szCs w:val="28"/>
          <w:u w:val="single"/>
        </w:rPr>
        <w:t>高配房1号变压器有源滤波无功补偿柜维修项目</w: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2CD453D8">
      <w:pPr>
        <w:rPr>
          <w:sz w:val="28"/>
          <w:szCs w:val="28"/>
        </w:rPr>
      </w:pPr>
      <w:r>
        <w:rPr>
          <w:rFonts w:hint="eastAsia"/>
          <w:sz w:val="28"/>
          <w:szCs w:val="28"/>
        </w:rPr>
        <w:t>2．我方承诺在招标文件规定的投标有效期内不修改、撤销投标文件。</w:t>
      </w:r>
    </w:p>
    <w:p w14:paraId="26386743">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A9D30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6A9D303"/>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4CCC1562">
      <w:pPr>
        <w:rPr>
          <w:sz w:val="28"/>
          <w:szCs w:val="28"/>
        </w:rPr>
      </w:pPr>
      <w:r>
        <w:rPr>
          <w:rFonts w:hint="eastAsia"/>
          <w:sz w:val="28"/>
          <w:szCs w:val="28"/>
        </w:rPr>
        <w:t>4．如我方中标：</w:t>
      </w:r>
    </w:p>
    <w:p w14:paraId="43E42BD1">
      <w:pPr>
        <w:rPr>
          <w:sz w:val="28"/>
          <w:szCs w:val="28"/>
        </w:rPr>
      </w:pPr>
      <w:r>
        <w:rPr>
          <w:rFonts w:hint="eastAsia"/>
          <w:sz w:val="28"/>
          <w:szCs w:val="28"/>
        </w:rPr>
        <w:t>（1）我方承诺在收到中标通知后，在规定的期限内与你方签订合同。</w:t>
      </w:r>
    </w:p>
    <w:p w14:paraId="74A6C416">
      <w:pPr>
        <w:rPr>
          <w:sz w:val="28"/>
          <w:szCs w:val="28"/>
        </w:rPr>
      </w:pPr>
      <w:r>
        <w:rPr>
          <w:rFonts w:hint="eastAsia"/>
          <w:sz w:val="28"/>
          <w:szCs w:val="28"/>
        </w:rPr>
        <w:t>（2）我方将严格履行本投标文件中的全部承诺和责任，并遵守招标文件中对投标人的所有规定。</w:t>
      </w:r>
    </w:p>
    <w:p w14:paraId="7B1F34FB">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8B34E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2D8B34E7"/>
                  </w:txbxContent>
                </v:textbox>
                <w10:wrap type="none"/>
                <w10:anchorlock/>
              </v:rect>
            </w:pict>
          </mc:Fallback>
        </mc:AlternateContent>
      </w:r>
      <w:r>
        <w:rPr>
          <w:rFonts w:hint="eastAsia"/>
          <w:sz w:val="28"/>
          <w:szCs w:val="28"/>
        </w:rPr>
        <w:t>（其他补充说明）。</w:t>
      </w:r>
    </w:p>
    <w:p w14:paraId="5615F6D5">
      <w:pPr>
        <w:rPr>
          <w:sz w:val="28"/>
          <w:szCs w:val="28"/>
        </w:rPr>
      </w:pPr>
      <w:r>
        <w:rPr>
          <w:rFonts w:hint="eastAsia"/>
          <w:sz w:val="28"/>
          <w:szCs w:val="28"/>
        </w:rPr>
        <w:t> </w:t>
      </w:r>
    </w:p>
    <w:p w14:paraId="455AD3EA">
      <w:pPr>
        <w:jc w:val="left"/>
        <w:rPr>
          <w:sz w:val="28"/>
          <w:szCs w:val="28"/>
        </w:rPr>
      </w:pPr>
      <w:r>
        <w:rPr>
          <w:rFonts w:hint="eastAsia"/>
          <w:sz w:val="28"/>
          <w:szCs w:val="28"/>
        </w:rPr>
        <w:t xml:space="preserve">                         投标人(公章)：               </w:t>
      </w:r>
    </w:p>
    <w:p w14:paraId="4E70482D">
      <w:pPr>
        <w:ind w:firstLine="3360" w:firstLineChars="1200"/>
        <w:jc w:val="left"/>
        <w:rPr>
          <w:sz w:val="28"/>
          <w:szCs w:val="28"/>
        </w:rPr>
      </w:pPr>
      <w:r>
        <w:rPr>
          <w:rFonts w:hint="eastAsia"/>
          <w:sz w:val="28"/>
          <w:szCs w:val="28"/>
        </w:rPr>
        <w:t xml:space="preserve">法人代表或授权委托人（签字或印章）：          </w:t>
      </w:r>
    </w:p>
    <w:p w14:paraId="7D429FFF">
      <w:pPr>
        <w:ind w:firstLine="3360" w:firstLineChars="1200"/>
        <w:jc w:val="left"/>
        <w:rPr>
          <w:sz w:val="28"/>
          <w:szCs w:val="28"/>
        </w:rPr>
      </w:pPr>
      <w:r>
        <w:rPr>
          <w:rFonts w:hint="eastAsia"/>
          <w:sz w:val="28"/>
          <w:szCs w:val="28"/>
        </w:rPr>
        <w:t xml:space="preserve">日期：               </w:t>
      </w:r>
    </w:p>
    <w:p w14:paraId="14A79046">
      <w:pPr>
        <w:snapToGrid w:val="0"/>
        <w:spacing w:line="470" w:lineRule="atLeast"/>
        <w:ind w:left="5680" w:hanging="5074"/>
        <w:rPr>
          <w:rFonts w:ascii="宋体" w:hAnsi="宋体"/>
        </w:rPr>
      </w:pPr>
    </w:p>
    <w:p w14:paraId="3E027EBB">
      <w:pPr>
        <w:snapToGrid w:val="0"/>
        <w:spacing w:line="470" w:lineRule="atLeast"/>
        <w:jc w:val="center"/>
        <w:rPr>
          <w:b/>
          <w:bCs/>
          <w:sz w:val="36"/>
        </w:rPr>
      </w:pPr>
      <w:r>
        <w:rPr>
          <w:rFonts w:ascii="宋体" w:hAnsi="宋体"/>
        </w:rPr>
        <w:br w:type="page"/>
      </w:r>
      <w:bookmarkStart w:id="5"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5"/>
    </w:p>
    <w:tbl>
      <w:tblPr>
        <w:tblStyle w:val="21"/>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3084ADD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83A2F43">
            <w:pPr>
              <w:pStyle w:val="29"/>
              <w:jc w:val="left"/>
              <w:rPr>
                <w:sz w:val="24"/>
                <w:szCs w:val="24"/>
              </w:rPr>
            </w:pPr>
            <w:r>
              <w:rPr>
                <w:rFonts w:hint="eastAsia"/>
                <w:color w:val="000000"/>
                <w:sz w:val="24"/>
                <w:szCs w:val="24"/>
                <w:lang w:eastAsia="zh-CN"/>
              </w:rPr>
              <w:t>采购</w:t>
            </w:r>
            <w:r>
              <w:rPr>
                <w:color w:val="000000"/>
                <w:sz w:val="24"/>
                <w:szCs w:val="24"/>
              </w:rPr>
              <w:t>単位：丹阳市人民医院</w:t>
            </w:r>
          </w:p>
        </w:tc>
      </w:tr>
      <w:tr w14:paraId="3390275F">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2317DF7">
            <w:pPr>
              <w:pStyle w:val="29"/>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ascii="微软雅黑" w:hAnsi="微软雅黑" w:cs="微软雅黑"/>
                <w:sz w:val="24"/>
                <w:szCs w:val="24"/>
                <w:lang w:val="en-US" w:eastAsia="zh-CN"/>
              </w:rPr>
              <w:t>高配房1号变压器有源滤波无功补偿柜维修</w:t>
            </w:r>
          </w:p>
        </w:tc>
      </w:tr>
      <w:tr w14:paraId="3658AC52">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209954B">
            <w:pPr>
              <w:pStyle w:val="29"/>
              <w:jc w:val="left"/>
              <w:rPr>
                <w:color w:val="000000"/>
                <w:sz w:val="24"/>
                <w:szCs w:val="24"/>
                <w:lang w:val="en-US" w:eastAsia="zh-CN"/>
              </w:rPr>
            </w:pPr>
            <w:r>
              <w:rPr>
                <w:rFonts w:hint="eastAsia"/>
                <w:color w:val="000000"/>
                <w:sz w:val="24"/>
                <w:szCs w:val="24"/>
                <w:lang w:val="en-US" w:eastAsia="zh-CN"/>
              </w:rPr>
              <w:t>投标单位（盖章）</w:t>
            </w:r>
          </w:p>
        </w:tc>
      </w:tr>
      <w:tr w14:paraId="6024546E">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42A87B9">
            <w:pPr>
              <w:pStyle w:val="29"/>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01206EE">
            <w:pPr>
              <w:pStyle w:val="29"/>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B53631C">
            <w:pPr>
              <w:pStyle w:val="29"/>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22E716CC">
            <w:pPr>
              <w:pStyle w:val="29"/>
              <w:jc w:val="left"/>
              <w:rPr>
                <w:color w:val="000000"/>
                <w:sz w:val="24"/>
                <w:szCs w:val="24"/>
                <w:lang w:val="en-US" w:eastAsia="zh-CN"/>
              </w:rPr>
            </w:pPr>
          </w:p>
        </w:tc>
      </w:tr>
      <w:tr w14:paraId="4E467C24">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9394D86">
            <w:pPr>
              <w:pStyle w:val="29"/>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B92F70">
            <w:r>
              <w:rPr>
                <w:rFonts w:hint="eastAsia"/>
                <w:color w:val="000000"/>
              </w:rPr>
              <w:t>（大写）：</w:t>
            </w:r>
          </w:p>
        </w:tc>
      </w:tr>
      <w:tr w14:paraId="0F5A1314">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2BD261A">
            <w:pPr>
              <w:pStyle w:val="29"/>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540E6B2">
            <w:pPr>
              <w:rPr>
                <w:color w:val="000000"/>
              </w:rPr>
            </w:pPr>
            <w:r>
              <w:rPr>
                <w:rFonts w:hint="eastAsia"/>
                <w:color w:val="000000"/>
              </w:rPr>
              <w:t>（小写）：</w:t>
            </w:r>
          </w:p>
        </w:tc>
      </w:tr>
      <w:tr w14:paraId="097C92E0">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6840FD1F">
            <w:pPr>
              <w:pStyle w:val="29"/>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42F4B91">
            <w:pPr>
              <w:rPr>
                <w:color w:val="000000"/>
              </w:rPr>
            </w:pPr>
          </w:p>
        </w:tc>
      </w:tr>
    </w:tbl>
    <w:p w14:paraId="1D16748A">
      <w:pPr>
        <w:rPr>
          <w:b/>
          <w:bCs/>
          <w:sz w:val="32"/>
          <w:szCs w:val="20"/>
        </w:rPr>
      </w:pPr>
      <w:r>
        <w:rPr>
          <w:rFonts w:hint="eastAsia"/>
          <w:sz w:val="28"/>
          <w:szCs w:val="28"/>
        </w:rPr>
        <w:t xml:space="preserve">              </w:t>
      </w:r>
      <w:bookmarkStart w:id="6" w:name="_Toc26951"/>
    </w:p>
    <w:p w14:paraId="2C9BB40C">
      <w:pPr>
        <w:pStyle w:val="13"/>
      </w:pPr>
      <w:r>
        <w:t>注：</w:t>
      </w:r>
    </w:p>
    <w:p w14:paraId="0FA4B66D">
      <w:pPr>
        <w:pStyle w:val="13"/>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应包含磋商文件所确定的采购范围内的全部内容，含税。</w:t>
      </w:r>
    </w:p>
    <w:p w14:paraId="0BF803F1">
      <w:pPr>
        <w:pStyle w:val="13"/>
        <w:spacing w:before="5"/>
        <w:rPr>
          <w:rFonts w:ascii="宋体" w:hAnsi="宋体" w:eastAsia="宋体" w:cs="宋体"/>
          <w:sz w:val="24"/>
          <w:szCs w:val="24"/>
        </w:rPr>
      </w:pPr>
      <w:r>
        <w:rPr>
          <w:rFonts w:hint="eastAsia" w:ascii="宋体" w:hAnsi="宋体" w:eastAsia="宋体" w:cs="宋体"/>
          <w:sz w:val="24"/>
          <w:szCs w:val="24"/>
        </w:rPr>
        <w:t>2.投标供应商必须据实填写此表，项目报价不得超过预算。</w:t>
      </w:r>
    </w:p>
    <w:p w14:paraId="4BDF83C3">
      <w:pPr>
        <w:pStyle w:val="13"/>
        <w:rPr>
          <w:rFonts w:ascii="宋体" w:hAnsi="宋体" w:eastAsia="宋体" w:cs="宋体"/>
          <w:sz w:val="24"/>
          <w:szCs w:val="24"/>
        </w:rPr>
      </w:pPr>
      <w:r>
        <w:rPr>
          <w:rFonts w:hint="eastAsia" w:ascii="宋体" w:hAnsi="宋体" w:eastAsia="宋体" w:cs="宋体"/>
          <w:color w:val="000000"/>
          <w:kern w:val="0"/>
          <w:sz w:val="24"/>
          <w:szCs w:val="24"/>
          <w:lang w:bidi="ar"/>
        </w:rPr>
        <w:t>3.报价保留至小数点后两位，四舍五入。</w:t>
      </w:r>
    </w:p>
    <w:p w14:paraId="0D2A355B">
      <w:pPr>
        <w:rPr>
          <w:b/>
          <w:bCs/>
          <w:color w:val="000000"/>
          <w:sz w:val="32"/>
          <w:szCs w:val="32"/>
        </w:rPr>
      </w:pPr>
      <w:r>
        <w:rPr>
          <w:rFonts w:hint="eastAsia"/>
          <w:b/>
          <w:bCs/>
          <w:sz w:val="32"/>
          <w:szCs w:val="20"/>
        </w:rPr>
        <w:br w:type="page"/>
      </w:r>
    </w:p>
    <w:p w14:paraId="3C149337">
      <w:pPr>
        <w:pStyle w:val="19"/>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6"/>
      <w:r>
        <w:rPr>
          <w:rFonts w:hint="eastAsia"/>
          <w:b/>
          <w:bCs/>
          <w:color w:val="000000"/>
          <w:sz w:val="32"/>
          <w:szCs w:val="32"/>
        </w:rPr>
        <w:t>书</w:t>
      </w:r>
    </w:p>
    <w:p w14:paraId="292B600E">
      <w:pPr>
        <w:pStyle w:val="19"/>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40C05704">
      <w:pPr>
        <w:pStyle w:val="19"/>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5FD9B6C">
      <w:pPr>
        <w:pStyle w:val="19"/>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4909D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54909D96"/>
                  </w:txbxContent>
                </v:textbox>
                <w10:wrap type="none"/>
                <w10:anchorlock/>
              </v:rect>
            </w:pict>
          </mc:Fallback>
        </mc:AlternateContent>
      </w:r>
      <w:r>
        <w:rPr>
          <w:rFonts w:hint="eastAsia"/>
          <w:color w:val="000000"/>
          <w:sz w:val="28"/>
          <w:szCs w:val="28"/>
          <w:u w:val="single"/>
        </w:rPr>
        <w:t xml:space="preserve">                                      </w:t>
      </w:r>
    </w:p>
    <w:p w14:paraId="292354FC">
      <w:pPr>
        <w:pStyle w:val="19"/>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55AF9B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255AF9B2"/>
                  </w:txbxContent>
                </v:textbox>
                <w10:wrap type="none"/>
                <w10:anchorlock/>
              </v:rect>
            </w:pict>
          </mc:Fallback>
        </mc:AlternateContent>
      </w:r>
      <w:r>
        <w:rPr>
          <w:rFonts w:hint="eastAsia"/>
          <w:color w:val="000000"/>
          <w:sz w:val="28"/>
          <w:szCs w:val="28"/>
          <w:u w:val="single"/>
        </w:rPr>
        <w:t xml:space="preserve">                                      </w:t>
      </w:r>
    </w:p>
    <w:p w14:paraId="532ED52A">
      <w:pPr>
        <w:pStyle w:val="19"/>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39E6A3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039E6A3B"/>
                  </w:txbxContent>
                </v:textbox>
                <w10:wrap type="none"/>
                <w10:anchorlock/>
              </v:rect>
            </w:pict>
          </mc:Fallback>
        </mc:AlternateContent>
      </w:r>
      <w:r>
        <w:rPr>
          <w:rFonts w:hint="eastAsia"/>
          <w:color w:val="000000"/>
          <w:sz w:val="28"/>
          <w:szCs w:val="28"/>
          <w:u w:val="single"/>
        </w:rPr>
        <w:t xml:space="preserve">                                      </w:t>
      </w:r>
    </w:p>
    <w:p w14:paraId="067B9278">
      <w:pPr>
        <w:pStyle w:val="19"/>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6557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06557A3"/>
                  </w:txbxContent>
                </v:textbox>
                <w10:wrap type="none"/>
                <w10:anchorlock/>
              </v:rect>
            </w:pict>
          </mc:Fallback>
        </mc:AlternateContent>
      </w:r>
      <w:r>
        <w:rPr>
          <w:rFonts w:hint="eastAsia"/>
          <w:color w:val="000000"/>
          <w:sz w:val="28"/>
          <w:szCs w:val="28"/>
          <w:u w:val="single"/>
        </w:rPr>
        <w:t xml:space="preserve">                     </w:t>
      </w:r>
    </w:p>
    <w:p w14:paraId="60251632">
      <w:pPr>
        <w:pStyle w:val="19"/>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B2BB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328B2BB1"/>
                  </w:txbxContent>
                </v:textbox>
                <w10:wrap type="none"/>
                <w10:anchorlock/>
              </v:rect>
            </w:pict>
          </mc:Fallback>
        </mc:AlternateContent>
      </w:r>
      <w:r>
        <w:rPr>
          <w:rFonts w:hint="eastAsia"/>
          <w:color w:val="000000"/>
          <w:sz w:val="28"/>
          <w:szCs w:val="28"/>
          <w:u w:val="single"/>
        </w:rPr>
        <w:t xml:space="preserve">                     </w:t>
      </w:r>
    </w:p>
    <w:p w14:paraId="607CF2EF">
      <w:pPr>
        <w:pStyle w:val="19"/>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06EDA9A7">
      <w:pPr>
        <w:pStyle w:val="19"/>
        <w:spacing w:line="206" w:lineRule="atLeast"/>
        <w:ind w:firstLine="567"/>
        <w:jc w:val="both"/>
        <w:rPr>
          <w:color w:val="000000"/>
          <w:sz w:val="28"/>
          <w:szCs w:val="28"/>
        </w:rPr>
      </w:pPr>
      <w:r>
        <w:rPr>
          <w:rFonts w:hint="eastAsia"/>
          <w:color w:val="000000"/>
          <w:sz w:val="28"/>
          <w:szCs w:val="28"/>
        </w:rPr>
        <w:t>特此证明。</w:t>
      </w:r>
    </w:p>
    <w:p w14:paraId="19C2AE3C">
      <w:pPr>
        <w:pStyle w:val="19"/>
        <w:spacing w:line="206" w:lineRule="atLeast"/>
        <w:ind w:firstLine="567"/>
        <w:jc w:val="both"/>
        <w:rPr>
          <w:color w:val="000000"/>
          <w:sz w:val="28"/>
          <w:szCs w:val="28"/>
        </w:rPr>
      </w:pPr>
    </w:p>
    <w:p w14:paraId="7170B1EE">
      <w:pPr>
        <w:pStyle w:val="19"/>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7E77B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407E77B9"/>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0A513A1F">
      <w:pPr>
        <w:pStyle w:val="19"/>
        <w:spacing w:line="206" w:lineRule="atLeast"/>
        <w:ind w:firstLine="567"/>
        <w:jc w:val="center"/>
        <w:rPr>
          <w:color w:val="000000"/>
          <w:sz w:val="28"/>
          <w:szCs w:val="28"/>
        </w:rPr>
      </w:pPr>
    </w:p>
    <w:p w14:paraId="51CD6897">
      <w:pPr>
        <w:pStyle w:val="19"/>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5BC2B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A5BC2B3"/>
                  </w:txbxContent>
                </v:textbox>
                <w10:wrap type="none"/>
                <w10:anchorlock/>
              </v:rect>
            </w:pict>
          </mc:Fallback>
        </mc:AlternateContent>
      </w:r>
      <w:r>
        <w:rPr>
          <w:rFonts w:hint="eastAsia"/>
          <w:color w:val="000000"/>
          <w:sz w:val="28"/>
          <w:szCs w:val="28"/>
          <w:u w:val="single"/>
        </w:rPr>
        <w:t xml:space="preserve">                         </w:t>
      </w:r>
    </w:p>
    <w:p w14:paraId="09CEE65B">
      <w:pPr>
        <w:pStyle w:val="19"/>
        <w:spacing w:line="206" w:lineRule="atLeast"/>
        <w:ind w:firstLine="567"/>
        <w:jc w:val="center"/>
        <w:rPr>
          <w:color w:val="000000"/>
          <w:sz w:val="28"/>
          <w:szCs w:val="28"/>
          <w:u w:val="single"/>
        </w:rPr>
      </w:pPr>
    </w:p>
    <w:p w14:paraId="67C5A310">
      <w:pPr>
        <w:pStyle w:val="2"/>
        <w:numPr>
          <w:ilvl w:val="0"/>
          <w:numId w:val="0"/>
        </w:numPr>
        <w:spacing w:before="240" w:after="60"/>
        <w:jc w:val="center"/>
        <w:rPr>
          <w:rFonts w:hint="default" w:cs="宋体"/>
          <w:sz w:val="32"/>
          <w:szCs w:val="32"/>
        </w:rPr>
      </w:pPr>
      <w:bookmarkStart w:id="7" w:name="_Toc10458"/>
    </w:p>
    <w:p w14:paraId="1D32C9C0">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7"/>
    </w:p>
    <w:p w14:paraId="45F882FD">
      <w:pPr>
        <w:pStyle w:val="19"/>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38A8C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738A8C3A"/>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A393AA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0A393AAA"/>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微软雅黑" w:hAnsi="微软雅黑" w:cs="微软雅黑"/>
          <w:sz w:val="28"/>
          <w:szCs w:val="28"/>
          <w:u w:val="single"/>
        </w:rPr>
        <w:t>高配房1号变压器有源滤波无功补偿柜维修</w:t>
      </w:r>
      <w:r>
        <w:rPr>
          <w:rFonts w:hint="eastAsia"/>
          <w:color w:val="000000"/>
          <w:sz w:val="28"/>
          <w:szCs w:val="28"/>
          <w:u w:val="single"/>
        </w:rPr>
        <w:t xml:space="preserve">                  </w:t>
      </w:r>
      <w:r>
        <w:rPr>
          <w:rFonts w:hint="eastAsia"/>
          <w:color w:val="000000"/>
          <w:sz w:val="28"/>
          <w:szCs w:val="28"/>
        </w:rPr>
        <w:t>投标文件、签订合同和处理有关事宜，其法律后果由我方承担。</w:t>
      </w:r>
    </w:p>
    <w:p w14:paraId="39079702">
      <w:pPr>
        <w:pStyle w:val="19"/>
        <w:spacing w:line="206" w:lineRule="atLeast"/>
        <w:ind w:firstLine="1260"/>
        <w:jc w:val="both"/>
        <w:rPr>
          <w:color w:val="000000"/>
          <w:sz w:val="28"/>
          <w:szCs w:val="28"/>
        </w:rPr>
      </w:pPr>
      <w:r>
        <w:rPr>
          <w:rFonts w:hint="eastAsia"/>
          <w:color w:val="000000"/>
          <w:sz w:val="28"/>
          <w:szCs w:val="28"/>
        </w:rPr>
        <w:t>委托期限：</w:t>
      </w:r>
    </w:p>
    <w:p w14:paraId="205A732B">
      <w:pPr>
        <w:pStyle w:val="19"/>
        <w:spacing w:line="206" w:lineRule="atLeast"/>
        <w:ind w:firstLine="567"/>
        <w:jc w:val="both"/>
        <w:rPr>
          <w:color w:val="000000"/>
          <w:sz w:val="28"/>
          <w:szCs w:val="28"/>
        </w:rPr>
      </w:pPr>
      <w:r>
        <w:rPr>
          <w:rFonts w:hint="eastAsia"/>
          <w:color w:val="000000"/>
          <w:sz w:val="28"/>
          <w:szCs w:val="28"/>
        </w:rPr>
        <w:t>代理人无转委托权。</w:t>
      </w:r>
    </w:p>
    <w:p w14:paraId="36D3E5A4">
      <w:pPr>
        <w:pStyle w:val="19"/>
        <w:spacing w:line="206" w:lineRule="atLeast"/>
        <w:ind w:firstLine="567"/>
        <w:jc w:val="both"/>
        <w:rPr>
          <w:color w:val="000000"/>
          <w:sz w:val="28"/>
          <w:szCs w:val="28"/>
        </w:rPr>
      </w:pPr>
      <w:r>
        <w:rPr>
          <w:rFonts w:hint="eastAsia"/>
          <w:color w:val="000000"/>
          <w:sz w:val="28"/>
          <w:szCs w:val="28"/>
        </w:rPr>
        <w:t>附：法定代表人身份证明</w:t>
      </w:r>
    </w:p>
    <w:p w14:paraId="039A0195">
      <w:pPr>
        <w:pStyle w:val="19"/>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41E3C5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41E3C5E"/>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1A494B52">
      <w:pPr>
        <w:pStyle w:val="19"/>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5FC300D3">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48234739">
      <w:pPr>
        <w:pStyle w:val="19"/>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413F6F58">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36D56885">
      <w:pPr>
        <w:pStyle w:val="19"/>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0193A953">
      <w:pPr>
        <w:pStyle w:val="19"/>
        <w:spacing w:line="100" w:lineRule="atLeast"/>
        <w:ind w:firstLine="567"/>
        <w:jc w:val="both"/>
        <w:rPr>
          <w:color w:val="000000"/>
        </w:rPr>
      </w:pPr>
    </w:p>
    <w:p w14:paraId="78221FD4">
      <w:pPr>
        <w:pStyle w:val="2"/>
        <w:numPr>
          <w:ilvl w:val="0"/>
          <w:numId w:val="0"/>
        </w:numPr>
        <w:rPr>
          <w:rFonts w:hint="default"/>
        </w:rPr>
      </w:pPr>
      <w:bookmarkStart w:id="8" w:name="_Toc28085"/>
      <w:bookmarkStart w:id="9" w:name="_Toc18040"/>
    </w:p>
    <w:p w14:paraId="569C5E56">
      <w:pPr>
        <w:pStyle w:val="2"/>
        <w:numPr>
          <w:ilvl w:val="0"/>
          <w:numId w:val="0"/>
        </w:numPr>
        <w:spacing w:before="240" w:after="60"/>
        <w:jc w:val="center"/>
        <w:rPr>
          <w:rFonts w:hint="default" w:cs="宋体"/>
          <w:sz w:val="32"/>
          <w:szCs w:val="32"/>
        </w:rPr>
      </w:pPr>
    </w:p>
    <w:p w14:paraId="13830865">
      <w:pPr>
        <w:pStyle w:val="2"/>
        <w:numPr>
          <w:ilvl w:val="0"/>
          <w:numId w:val="0"/>
        </w:numPr>
        <w:spacing w:before="240" w:after="60"/>
        <w:jc w:val="center"/>
        <w:rPr>
          <w:rFonts w:hint="default" w:cs="宋体"/>
          <w:sz w:val="32"/>
          <w:szCs w:val="32"/>
        </w:rPr>
      </w:pPr>
      <w:r>
        <w:rPr>
          <w:rFonts w:cs="宋体"/>
          <w:sz w:val="32"/>
          <w:szCs w:val="32"/>
        </w:rPr>
        <w:t>五、资格审查资料</w:t>
      </w:r>
    </w:p>
    <w:p w14:paraId="3BED5C2A">
      <w:pPr>
        <w:pStyle w:val="13"/>
        <w:numPr>
          <w:ilvl w:val="0"/>
          <w:numId w:val="13"/>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8"/>
    </w:p>
    <w:tbl>
      <w:tblPr>
        <w:tblStyle w:val="21"/>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1EE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A81C211">
            <w:pPr>
              <w:jc w:val="center"/>
              <w:textAlignment w:val="center"/>
              <w:rPr>
                <w:rFonts w:ascii="宋体" w:hAnsi="宋体" w:cs="宋体"/>
              </w:rPr>
            </w:pPr>
            <w:r>
              <w:rPr>
                <w:rFonts w:hint="eastAsia" w:ascii="宋体" w:hAnsi="宋体" w:cs="宋体"/>
              </w:rPr>
              <w:t>投标供应商</w:t>
            </w:r>
          </w:p>
          <w:p w14:paraId="5E7710E5">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31FEB740">
            <w:pPr>
              <w:jc w:val="center"/>
              <w:rPr>
                <w:rFonts w:ascii="宋体" w:hAnsi="宋体" w:cs="宋体"/>
              </w:rPr>
            </w:pPr>
          </w:p>
        </w:tc>
      </w:tr>
      <w:tr w14:paraId="0429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7A45E6CF">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18BFC129">
            <w:pPr>
              <w:jc w:val="center"/>
              <w:rPr>
                <w:rFonts w:ascii="宋体" w:hAnsi="宋体" w:cs="宋体"/>
              </w:rPr>
            </w:pPr>
          </w:p>
        </w:tc>
        <w:tc>
          <w:tcPr>
            <w:tcW w:w="1350" w:type="dxa"/>
            <w:tcBorders>
              <w:tl2br w:val="nil"/>
              <w:tr2bl w:val="nil"/>
            </w:tcBorders>
            <w:noWrap/>
            <w:vAlign w:val="center"/>
          </w:tcPr>
          <w:p w14:paraId="504155DE">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5E527838">
            <w:pPr>
              <w:jc w:val="center"/>
              <w:rPr>
                <w:rFonts w:ascii="宋体" w:hAnsi="宋体" w:cs="宋体"/>
              </w:rPr>
            </w:pPr>
          </w:p>
        </w:tc>
      </w:tr>
      <w:tr w14:paraId="4ED8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229BDB35">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15D97A63">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3F70872F">
            <w:pPr>
              <w:jc w:val="center"/>
              <w:rPr>
                <w:rFonts w:ascii="宋体" w:hAnsi="宋体" w:cs="宋体"/>
              </w:rPr>
            </w:pPr>
          </w:p>
        </w:tc>
        <w:tc>
          <w:tcPr>
            <w:tcW w:w="1350" w:type="dxa"/>
            <w:tcBorders>
              <w:tl2br w:val="nil"/>
              <w:tr2bl w:val="nil"/>
            </w:tcBorders>
            <w:noWrap/>
            <w:vAlign w:val="center"/>
          </w:tcPr>
          <w:p w14:paraId="5759ED23">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0E35C25E">
            <w:pPr>
              <w:jc w:val="center"/>
              <w:rPr>
                <w:rFonts w:ascii="宋体" w:hAnsi="宋体" w:cs="宋体"/>
              </w:rPr>
            </w:pPr>
          </w:p>
        </w:tc>
      </w:tr>
      <w:tr w14:paraId="6D7D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4255A646">
            <w:pPr>
              <w:jc w:val="center"/>
              <w:rPr>
                <w:rFonts w:ascii="宋体" w:hAnsi="宋体" w:cs="宋体"/>
              </w:rPr>
            </w:pPr>
          </w:p>
        </w:tc>
        <w:tc>
          <w:tcPr>
            <w:tcW w:w="1000" w:type="dxa"/>
            <w:tcBorders>
              <w:tl2br w:val="nil"/>
              <w:tr2bl w:val="nil"/>
            </w:tcBorders>
            <w:noWrap/>
            <w:vAlign w:val="center"/>
          </w:tcPr>
          <w:p w14:paraId="3443352A">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3DEE3783">
            <w:pPr>
              <w:jc w:val="center"/>
              <w:rPr>
                <w:rFonts w:ascii="宋体" w:hAnsi="宋体" w:cs="宋体"/>
              </w:rPr>
            </w:pPr>
          </w:p>
        </w:tc>
        <w:tc>
          <w:tcPr>
            <w:tcW w:w="1350" w:type="dxa"/>
            <w:tcBorders>
              <w:tl2br w:val="nil"/>
              <w:tr2bl w:val="nil"/>
            </w:tcBorders>
            <w:noWrap/>
            <w:vAlign w:val="center"/>
          </w:tcPr>
          <w:p w14:paraId="285908E6">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1B0B2C3F">
            <w:pPr>
              <w:jc w:val="center"/>
              <w:rPr>
                <w:rFonts w:ascii="宋体" w:hAnsi="宋体" w:cs="宋体"/>
              </w:rPr>
            </w:pPr>
          </w:p>
        </w:tc>
      </w:tr>
      <w:tr w14:paraId="61B0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B2E9875">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79D3C116">
            <w:pPr>
              <w:jc w:val="center"/>
              <w:rPr>
                <w:rFonts w:ascii="宋体" w:hAnsi="宋体" w:cs="宋体"/>
              </w:rPr>
            </w:pPr>
          </w:p>
        </w:tc>
      </w:tr>
      <w:tr w14:paraId="6E94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3F4192">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7F7173FB">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46C5EDF6">
            <w:pPr>
              <w:jc w:val="center"/>
              <w:rPr>
                <w:rFonts w:ascii="宋体" w:hAnsi="宋体" w:cs="宋体"/>
              </w:rPr>
            </w:pPr>
          </w:p>
        </w:tc>
        <w:tc>
          <w:tcPr>
            <w:tcW w:w="1350" w:type="dxa"/>
            <w:tcBorders>
              <w:tl2br w:val="nil"/>
              <w:tr2bl w:val="nil"/>
            </w:tcBorders>
            <w:noWrap/>
            <w:vAlign w:val="center"/>
          </w:tcPr>
          <w:p w14:paraId="5DB1261F">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5D307173">
            <w:pPr>
              <w:jc w:val="center"/>
              <w:rPr>
                <w:rFonts w:ascii="宋体" w:hAnsi="宋体" w:cs="宋体"/>
              </w:rPr>
            </w:pPr>
          </w:p>
        </w:tc>
        <w:tc>
          <w:tcPr>
            <w:tcW w:w="800" w:type="dxa"/>
            <w:tcBorders>
              <w:tl2br w:val="nil"/>
              <w:tr2bl w:val="nil"/>
            </w:tcBorders>
            <w:noWrap/>
            <w:vAlign w:val="center"/>
          </w:tcPr>
          <w:p w14:paraId="026B134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23C00F07">
            <w:pPr>
              <w:rPr>
                <w:rFonts w:ascii="宋体" w:hAnsi="宋体" w:cs="宋体"/>
              </w:rPr>
            </w:pPr>
          </w:p>
        </w:tc>
      </w:tr>
      <w:tr w14:paraId="1E66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D70A538">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26B0ED45">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465FB6F5">
            <w:pPr>
              <w:jc w:val="center"/>
              <w:rPr>
                <w:rFonts w:ascii="宋体" w:hAnsi="宋体" w:cs="宋体"/>
              </w:rPr>
            </w:pPr>
          </w:p>
        </w:tc>
        <w:tc>
          <w:tcPr>
            <w:tcW w:w="1350" w:type="dxa"/>
            <w:tcBorders>
              <w:tl2br w:val="nil"/>
              <w:tr2bl w:val="nil"/>
            </w:tcBorders>
            <w:noWrap/>
            <w:vAlign w:val="center"/>
          </w:tcPr>
          <w:p w14:paraId="3F2D3D83">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499850BB">
            <w:pPr>
              <w:jc w:val="center"/>
              <w:rPr>
                <w:rFonts w:ascii="宋体" w:hAnsi="宋体" w:cs="宋体"/>
              </w:rPr>
            </w:pPr>
          </w:p>
        </w:tc>
        <w:tc>
          <w:tcPr>
            <w:tcW w:w="800" w:type="dxa"/>
            <w:tcBorders>
              <w:tl2br w:val="nil"/>
              <w:tr2bl w:val="nil"/>
            </w:tcBorders>
            <w:noWrap/>
            <w:vAlign w:val="center"/>
          </w:tcPr>
          <w:p w14:paraId="2D4FD57A">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40C7DC5E">
            <w:pPr>
              <w:rPr>
                <w:rFonts w:ascii="宋体" w:hAnsi="宋体" w:cs="宋体"/>
              </w:rPr>
            </w:pPr>
          </w:p>
        </w:tc>
      </w:tr>
      <w:tr w14:paraId="49F2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D10F88">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03D46109">
            <w:pPr>
              <w:jc w:val="center"/>
              <w:rPr>
                <w:rFonts w:ascii="宋体" w:hAnsi="宋体" w:cs="宋体"/>
              </w:rPr>
            </w:pPr>
          </w:p>
        </w:tc>
        <w:tc>
          <w:tcPr>
            <w:tcW w:w="1350" w:type="dxa"/>
            <w:tcBorders>
              <w:tl2br w:val="nil"/>
              <w:tr2bl w:val="nil"/>
            </w:tcBorders>
            <w:noWrap/>
            <w:vAlign w:val="center"/>
          </w:tcPr>
          <w:p w14:paraId="00CC0F2E">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42D64C4E">
            <w:pPr>
              <w:jc w:val="center"/>
              <w:rPr>
                <w:rFonts w:ascii="宋体" w:hAnsi="宋体" w:cs="宋体"/>
              </w:rPr>
            </w:pPr>
          </w:p>
        </w:tc>
      </w:tr>
      <w:tr w14:paraId="0352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5F6E8CC">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1FAAB1B9">
            <w:pPr>
              <w:jc w:val="center"/>
              <w:rPr>
                <w:rFonts w:ascii="宋体" w:hAnsi="宋体" w:cs="宋体"/>
              </w:rPr>
            </w:pPr>
          </w:p>
        </w:tc>
        <w:tc>
          <w:tcPr>
            <w:tcW w:w="1350" w:type="dxa"/>
            <w:vMerge w:val="restart"/>
            <w:tcBorders>
              <w:tl2br w:val="nil"/>
              <w:tr2bl w:val="nil"/>
            </w:tcBorders>
            <w:noWrap/>
            <w:vAlign w:val="center"/>
          </w:tcPr>
          <w:p w14:paraId="6DF05573">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46B8C196">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49018CC1">
            <w:pPr>
              <w:jc w:val="center"/>
              <w:rPr>
                <w:rFonts w:ascii="宋体" w:hAnsi="宋体" w:cs="宋体"/>
              </w:rPr>
            </w:pPr>
          </w:p>
        </w:tc>
      </w:tr>
      <w:tr w14:paraId="5BB9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9E350C">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632728EE">
            <w:pPr>
              <w:jc w:val="center"/>
              <w:rPr>
                <w:rFonts w:ascii="宋体" w:hAnsi="宋体" w:cs="宋体"/>
              </w:rPr>
            </w:pPr>
          </w:p>
        </w:tc>
        <w:tc>
          <w:tcPr>
            <w:tcW w:w="1350" w:type="dxa"/>
            <w:vMerge w:val="continue"/>
            <w:tcBorders>
              <w:tl2br w:val="nil"/>
              <w:tr2bl w:val="nil"/>
            </w:tcBorders>
            <w:noWrap/>
            <w:vAlign w:val="center"/>
          </w:tcPr>
          <w:p w14:paraId="457DCC8E">
            <w:pPr>
              <w:jc w:val="center"/>
              <w:rPr>
                <w:rFonts w:ascii="宋体" w:hAnsi="宋体" w:cs="宋体"/>
              </w:rPr>
            </w:pPr>
          </w:p>
        </w:tc>
        <w:tc>
          <w:tcPr>
            <w:tcW w:w="1834" w:type="dxa"/>
            <w:tcBorders>
              <w:tl2br w:val="nil"/>
              <w:tr2bl w:val="nil"/>
            </w:tcBorders>
            <w:noWrap/>
            <w:vAlign w:val="center"/>
          </w:tcPr>
          <w:p w14:paraId="42122F45">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12A70D82">
            <w:pPr>
              <w:jc w:val="center"/>
              <w:rPr>
                <w:rFonts w:ascii="宋体" w:hAnsi="宋体" w:cs="宋体"/>
              </w:rPr>
            </w:pPr>
          </w:p>
        </w:tc>
      </w:tr>
      <w:tr w14:paraId="2DE4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2B07E12">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55C234DD">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308BB28C">
            <w:pPr>
              <w:jc w:val="center"/>
              <w:rPr>
                <w:rFonts w:ascii="宋体" w:hAnsi="宋体" w:cs="宋体"/>
              </w:rPr>
            </w:pPr>
          </w:p>
        </w:tc>
        <w:tc>
          <w:tcPr>
            <w:tcW w:w="1834" w:type="dxa"/>
            <w:tcBorders>
              <w:tl2br w:val="nil"/>
              <w:tr2bl w:val="nil"/>
            </w:tcBorders>
            <w:noWrap/>
            <w:vAlign w:val="center"/>
          </w:tcPr>
          <w:p w14:paraId="4A769C39">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05F410BB">
            <w:pPr>
              <w:jc w:val="center"/>
              <w:rPr>
                <w:rFonts w:ascii="宋体" w:hAnsi="宋体" w:cs="宋体"/>
              </w:rPr>
            </w:pPr>
          </w:p>
        </w:tc>
      </w:tr>
      <w:tr w14:paraId="520AD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B3FA35">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42AD232F">
            <w:pPr>
              <w:jc w:val="center"/>
              <w:rPr>
                <w:rFonts w:ascii="宋体" w:hAnsi="宋体" w:cs="宋体"/>
              </w:rPr>
            </w:pPr>
          </w:p>
        </w:tc>
        <w:tc>
          <w:tcPr>
            <w:tcW w:w="1350" w:type="dxa"/>
            <w:vMerge w:val="continue"/>
            <w:tcBorders>
              <w:tl2br w:val="nil"/>
              <w:tr2bl w:val="nil"/>
            </w:tcBorders>
            <w:noWrap/>
            <w:vAlign w:val="center"/>
          </w:tcPr>
          <w:p w14:paraId="304B9C83">
            <w:pPr>
              <w:jc w:val="center"/>
              <w:rPr>
                <w:rFonts w:ascii="宋体" w:hAnsi="宋体" w:cs="宋体"/>
              </w:rPr>
            </w:pPr>
          </w:p>
        </w:tc>
        <w:tc>
          <w:tcPr>
            <w:tcW w:w="1834" w:type="dxa"/>
            <w:tcBorders>
              <w:tl2br w:val="nil"/>
              <w:tr2bl w:val="nil"/>
            </w:tcBorders>
            <w:noWrap/>
            <w:vAlign w:val="center"/>
          </w:tcPr>
          <w:p w14:paraId="12E06803">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621EEF2C">
            <w:pPr>
              <w:jc w:val="center"/>
              <w:rPr>
                <w:rFonts w:ascii="宋体" w:hAnsi="宋体" w:cs="宋体"/>
              </w:rPr>
            </w:pPr>
          </w:p>
        </w:tc>
      </w:tr>
      <w:tr w14:paraId="0678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5B1D2CD">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5E539E">
            <w:pPr>
              <w:jc w:val="center"/>
              <w:rPr>
                <w:rFonts w:ascii="宋体" w:hAnsi="宋体" w:cs="宋体"/>
              </w:rPr>
            </w:pPr>
          </w:p>
        </w:tc>
        <w:tc>
          <w:tcPr>
            <w:tcW w:w="1350" w:type="dxa"/>
            <w:vMerge w:val="continue"/>
            <w:tcBorders>
              <w:tl2br w:val="nil"/>
              <w:tr2bl w:val="nil"/>
            </w:tcBorders>
            <w:noWrap/>
            <w:vAlign w:val="center"/>
          </w:tcPr>
          <w:p w14:paraId="2F7893CE">
            <w:pPr>
              <w:jc w:val="center"/>
              <w:rPr>
                <w:rFonts w:ascii="宋体" w:hAnsi="宋体" w:cs="宋体"/>
              </w:rPr>
            </w:pPr>
          </w:p>
        </w:tc>
        <w:tc>
          <w:tcPr>
            <w:tcW w:w="1834" w:type="dxa"/>
            <w:tcBorders>
              <w:tl2br w:val="nil"/>
              <w:tr2bl w:val="nil"/>
            </w:tcBorders>
            <w:noWrap/>
            <w:vAlign w:val="center"/>
          </w:tcPr>
          <w:p w14:paraId="43BECC67">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6EECF3EF">
            <w:pPr>
              <w:jc w:val="center"/>
              <w:rPr>
                <w:rFonts w:ascii="宋体" w:hAnsi="宋体" w:cs="宋体"/>
              </w:rPr>
            </w:pPr>
          </w:p>
        </w:tc>
      </w:tr>
      <w:tr w14:paraId="1562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8DA5353">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7E2A543A">
            <w:pPr>
              <w:jc w:val="center"/>
              <w:rPr>
                <w:rFonts w:ascii="宋体" w:hAnsi="宋体" w:cs="宋体"/>
              </w:rPr>
            </w:pPr>
          </w:p>
        </w:tc>
      </w:tr>
      <w:tr w14:paraId="3FA4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578C518B">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04E880DE">
            <w:pPr>
              <w:jc w:val="center"/>
              <w:rPr>
                <w:rFonts w:ascii="宋体" w:hAnsi="宋体" w:cs="宋体"/>
              </w:rPr>
            </w:pPr>
          </w:p>
        </w:tc>
      </w:tr>
    </w:tbl>
    <w:p w14:paraId="730D19ED">
      <w:pPr>
        <w:ind w:left="2970"/>
        <w:rPr>
          <w:rFonts w:ascii="宋体" w:hAnsi="宋体" w:cs="宋体"/>
          <w:b/>
          <w:bCs/>
        </w:rPr>
      </w:pPr>
    </w:p>
    <w:p w14:paraId="05F856CF">
      <w:pPr>
        <w:pStyle w:val="13"/>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w:t>
      </w:r>
    </w:p>
    <w:p w14:paraId="46F0D656">
      <w:pPr>
        <w:pStyle w:val="13"/>
        <w:tabs>
          <w:tab w:val="left" w:pos="1374"/>
        </w:tabs>
        <w:ind w:firstLine="840" w:firstLineChars="300"/>
        <w:rPr>
          <w:rFonts w:ascii="宋体" w:hAnsi="宋体" w:eastAsia="宋体" w:cs="宋体"/>
          <w:szCs w:val="24"/>
        </w:rPr>
      </w:pPr>
      <w:r>
        <w:rPr>
          <w:rFonts w:hint="eastAsia" w:ascii="宋体" w:hAnsi="宋体" w:eastAsia="宋体" w:cs="宋体"/>
          <w:szCs w:val="24"/>
        </w:rPr>
        <w:t>2.无响应指标的应写明无。</w:t>
      </w:r>
    </w:p>
    <w:p w14:paraId="745A1D83">
      <w:pPr>
        <w:pStyle w:val="25"/>
        <w:rPr>
          <w:rFonts w:ascii="宋体" w:hAnsi="宋体" w:cs="宋体"/>
          <w:b/>
          <w:bCs/>
        </w:rPr>
      </w:pPr>
    </w:p>
    <w:p w14:paraId="62283A0C">
      <w:pPr>
        <w:pStyle w:val="25"/>
        <w:rPr>
          <w:rFonts w:ascii="宋体" w:hAnsi="宋体" w:cs="宋体"/>
          <w:b/>
          <w:bCs/>
        </w:rPr>
      </w:pPr>
    </w:p>
    <w:p w14:paraId="6DD645DE">
      <w:pPr>
        <w:pStyle w:val="25"/>
        <w:rPr>
          <w:rFonts w:ascii="宋体" w:hAnsi="宋体" w:cs="宋体"/>
          <w:b/>
          <w:bCs/>
        </w:rPr>
      </w:pPr>
    </w:p>
    <w:p w14:paraId="4216452A">
      <w:pPr>
        <w:rPr>
          <w:rFonts w:ascii="宋体" w:hAnsi="宋体" w:cs="宋体"/>
          <w:b/>
          <w:bCs/>
        </w:rPr>
      </w:pPr>
      <w:r>
        <w:rPr>
          <w:rFonts w:hint="eastAsia" w:ascii="宋体" w:hAnsi="宋体" w:cs="宋体"/>
          <w:b/>
          <w:bCs/>
        </w:rPr>
        <w:br w:type="page"/>
      </w:r>
    </w:p>
    <w:p w14:paraId="1CA8F9F6">
      <w:pPr>
        <w:widowControl/>
        <w:outlineLvl w:val="3"/>
        <w:rPr>
          <w:rFonts w:ascii="宋体" w:hAnsi="宋体" w:cs="宋体"/>
          <w:b/>
          <w:bCs/>
          <w:color w:val="000000"/>
          <w:kern w:val="0"/>
          <w:sz w:val="32"/>
          <w:szCs w:val="32"/>
          <w:lang w:bidi="ar"/>
        </w:rPr>
      </w:pPr>
      <w:bookmarkStart w:id="10" w:name="_Toc15698"/>
      <w:r>
        <w:rPr>
          <w:rFonts w:hint="eastAsia" w:ascii="宋体" w:hAnsi="宋体" w:cs="宋体"/>
          <w:b/>
          <w:bCs/>
          <w:color w:val="000000"/>
          <w:kern w:val="0"/>
          <w:sz w:val="32"/>
          <w:szCs w:val="32"/>
          <w:lang w:bidi="ar"/>
        </w:rPr>
        <w:t>附：</w:t>
      </w:r>
    </w:p>
    <w:p w14:paraId="1FEEA157">
      <w:pPr>
        <w:widowControl/>
        <w:numPr>
          <w:ilvl w:val="0"/>
          <w:numId w:val="14"/>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10"/>
    </w:p>
    <w:p w14:paraId="6BC994AB">
      <w:pPr>
        <w:pStyle w:val="25"/>
        <w:rPr>
          <w:rFonts w:ascii="宋体" w:hAnsi="宋体" w:cs="宋体"/>
        </w:rPr>
      </w:pPr>
    </w:p>
    <w:p w14:paraId="60DD8148">
      <w:pPr>
        <w:pStyle w:val="25"/>
        <w:ind w:firstLine="280" w:firstLineChars="100"/>
        <w:rPr>
          <w:rFonts w:ascii="宋体" w:hAnsi="宋体" w:cs="宋体"/>
          <w:sz w:val="28"/>
          <w:szCs w:val="28"/>
        </w:rPr>
      </w:pPr>
      <w:r>
        <w:rPr>
          <w:rFonts w:hint="eastAsia" w:ascii="宋体" w:hAnsi="宋体" w:cs="宋体"/>
          <w:sz w:val="28"/>
          <w:szCs w:val="28"/>
        </w:rPr>
        <w:t>营业执照加盖公章</w:t>
      </w:r>
    </w:p>
    <w:p w14:paraId="2998351D">
      <w:pPr>
        <w:numPr>
          <w:ilvl w:val="0"/>
          <w:numId w:val="14"/>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4BE214D8">
      <w:pPr>
        <w:pStyle w:val="26"/>
      </w:pPr>
    </w:p>
    <w:p w14:paraId="6B94E01F">
      <w:pPr>
        <w:widowControl/>
        <w:jc w:val="center"/>
        <w:outlineLvl w:val="4"/>
        <w:rPr>
          <w:rFonts w:ascii="宋体" w:hAnsi="宋体" w:cs="宋体"/>
          <w:b/>
          <w:bCs/>
          <w:color w:val="000000"/>
          <w:kern w:val="0"/>
          <w:sz w:val="32"/>
          <w:szCs w:val="32"/>
          <w:lang w:bidi="ar"/>
        </w:rPr>
      </w:pPr>
      <w:bookmarkStart w:id="11" w:name="_Toc29012"/>
      <w:r>
        <w:rPr>
          <w:rFonts w:hint="eastAsia" w:ascii="宋体" w:hAnsi="宋体" w:cs="宋体"/>
          <w:b/>
          <w:bCs/>
          <w:color w:val="000000"/>
          <w:kern w:val="0"/>
          <w:sz w:val="32"/>
          <w:szCs w:val="32"/>
          <w:lang w:bidi="ar"/>
        </w:rPr>
        <w:t>（2) 资格承诺函</w:t>
      </w:r>
    </w:p>
    <w:p w14:paraId="44CE3AE7">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21949146">
      <w:pPr>
        <w:spacing w:line="580" w:lineRule="exact"/>
        <w:ind w:firstLine="620"/>
        <w:rPr>
          <w:sz w:val="28"/>
          <w:szCs w:val="28"/>
        </w:rPr>
      </w:pPr>
      <w:r>
        <w:rPr>
          <w:rFonts w:hint="eastAsia" w:ascii="宋体" w:hAnsi="宋体"/>
          <w:color w:val="000000"/>
          <w:sz w:val="28"/>
          <w:szCs w:val="28"/>
        </w:rPr>
        <w:t>我单位参与</w:t>
      </w:r>
      <w:r>
        <w:rPr>
          <w:rFonts w:hint="eastAsia" w:ascii="微软雅黑" w:hAnsi="微软雅黑" w:cs="微软雅黑"/>
          <w:sz w:val="28"/>
          <w:szCs w:val="28"/>
          <w:u w:val="single"/>
        </w:rPr>
        <w:t>高配房1号变压器有源滤波无功补偿柜维修（</w:t>
      </w:r>
      <w:r>
        <w:rPr>
          <w:rFonts w:hint="eastAsia" w:ascii="宋体" w:hAnsi="宋体"/>
          <w:color w:val="000000"/>
          <w:sz w:val="28"/>
          <w:szCs w:val="28"/>
          <w:u w:val="single"/>
        </w:rPr>
        <w:t>项目编号：</w:t>
      </w:r>
      <w:r>
        <w:rPr>
          <w:rFonts w:hint="eastAsia" w:ascii="微软雅黑" w:hAnsi="微软雅黑" w:eastAsia="微软雅黑" w:cs="微软雅黑"/>
          <w:sz w:val="28"/>
          <w:szCs w:val="28"/>
          <w:u w:val="single"/>
        </w:rPr>
        <w:t xml:space="preserve"> DRY-CG-2025-005</w:t>
      </w:r>
      <w:r>
        <w:rPr>
          <w:rFonts w:hint="eastAsia" w:ascii="宋体" w:hAnsi="宋体"/>
          <w:color w:val="000000"/>
          <w:sz w:val="28"/>
          <w:szCs w:val="28"/>
          <w:u w:val="single"/>
        </w:rPr>
        <w:tab/>
      </w:r>
      <w:r>
        <w:rPr>
          <w:rFonts w:hint="eastAsia" w:ascii="宋体" w:hAnsi="宋体"/>
          <w:color w:val="000000"/>
          <w:sz w:val="28"/>
          <w:szCs w:val="28"/>
          <w:u w:val="single"/>
        </w:rPr>
        <w:t>）</w:t>
      </w:r>
      <w:r>
        <w:rPr>
          <w:rFonts w:hint="eastAsia" w:ascii="宋体" w:hAnsi="宋体"/>
          <w:color w:val="000000"/>
          <w:sz w:val="28"/>
          <w:szCs w:val="28"/>
        </w:rPr>
        <w:t>项目的采购活动，现承诺如下：</w:t>
      </w:r>
    </w:p>
    <w:p w14:paraId="36D16B1E">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223F70E3">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0B3792C5">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6C3352F2">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14:paraId="74125DD1">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05CD45CA">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73CE2A4C">
      <w:pPr>
        <w:pStyle w:val="26"/>
      </w:pPr>
    </w:p>
    <w:p w14:paraId="66E79EF6">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2DC2444E">
      <w:pPr>
        <w:pStyle w:val="26"/>
      </w:pPr>
    </w:p>
    <w:p w14:paraId="730A1ECD">
      <w:pPr>
        <w:spacing w:after="440" w:line="520" w:lineRule="exact"/>
        <w:ind w:firstLine="940"/>
        <w:jc w:val="left"/>
        <w:rPr>
          <w:sz w:val="28"/>
          <w:szCs w:val="28"/>
        </w:rPr>
      </w:pPr>
      <w:r>
        <w:rPr>
          <w:rFonts w:hint="eastAsia" w:ascii="宋体" w:hAnsi="宋体"/>
          <w:color w:val="000000"/>
          <w:sz w:val="28"/>
          <w:szCs w:val="28"/>
        </w:rPr>
        <w:t>日期：</w:t>
      </w:r>
    </w:p>
    <w:bookmarkEnd w:id="11"/>
    <w:p w14:paraId="25C061D9">
      <w:pPr>
        <w:pStyle w:val="25"/>
        <w:ind w:firstLine="0"/>
        <w:rPr>
          <w:rFonts w:ascii="宋体" w:hAnsi="宋体" w:cs="宋体"/>
        </w:rPr>
      </w:pPr>
    </w:p>
    <w:p w14:paraId="13D6D1AE">
      <w:pPr>
        <w:pStyle w:val="25"/>
        <w:ind w:firstLine="0"/>
        <w:rPr>
          <w:rFonts w:ascii="宋体" w:hAnsi="宋体" w:cs="宋体"/>
        </w:rPr>
      </w:pPr>
    </w:p>
    <w:p w14:paraId="7C943C20">
      <w:pPr>
        <w:pStyle w:val="25"/>
        <w:ind w:firstLine="0"/>
        <w:rPr>
          <w:rFonts w:ascii="宋体" w:hAnsi="宋体" w:cs="宋体"/>
        </w:rPr>
      </w:pPr>
    </w:p>
    <w:p w14:paraId="050EE2EC">
      <w:pPr>
        <w:pStyle w:val="25"/>
        <w:ind w:firstLine="0"/>
        <w:rPr>
          <w:rFonts w:ascii="宋体" w:hAnsi="宋体" w:cs="宋体"/>
        </w:rPr>
      </w:pPr>
    </w:p>
    <w:p w14:paraId="0397F8FC">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66C7C7B8">
      <w:pPr>
        <w:pStyle w:val="25"/>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1C32A780">
      <w:pPr>
        <w:rPr>
          <w:rFonts w:ascii="宋体" w:hAnsi="宋体"/>
          <w:color w:val="000000"/>
        </w:rPr>
      </w:pPr>
    </w:p>
    <w:p w14:paraId="0A5387ED">
      <w:pPr>
        <w:rPr>
          <w:rFonts w:ascii="宋体" w:hAnsi="宋体"/>
          <w:color w:val="000000"/>
        </w:rPr>
      </w:pPr>
    </w:p>
    <w:p w14:paraId="57800AC0">
      <w:pPr>
        <w:rPr>
          <w:rFonts w:ascii="宋体" w:hAnsi="宋体"/>
          <w:color w:val="000000"/>
        </w:rPr>
      </w:pPr>
    </w:p>
    <w:p w14:paraId="628D68EA">
      <w:pPr>
        <w:rPr>
          <w:rFonts w:ascii="宋体" w:hAnsi="宋体"/>
          <w:color w:val="000000"/>
        </w:rPr>
      </w:pPr>
    </w:p>
    <w:p w14:paraId="4EA76221">
      <w:pPr>
        <w:rPr>
          <w:rFonts w:ascii="宋体" w:hAnsi="宋体"/>
          <w:color w:val="000000"/>
        </w:rPr>
      </w:pPr>
    </w:p>
    <w:p w14:paraId="27718C60">
      <w:pPr>
        <w:rPr>
          <w:rFonts w:ascii="宋体" w:hAnsi="宋体"/>
          <w:color w:val="000000"/>
        </w:rPr>
      </w:pPr>
    </w:p>
    <w:p w14:paraId="3EFB28A7">
      <w:pPr>
        <w:spacing w:line="360" w:lineRule="auto"/>
        <w:ind w:firstLine="2811" w:firstLineChars="1000"/>
        <w:rPr>
          <w:b/>
          <w:sz w:val="28"/>
        </w:rPr>
      </w:pPr>
      <w:r>
        <w:rPr>
          <w:rFonts w:hint="eastAsia"/>
          <w:b/>
          <w:sz w:val="28"/>
        </w:rPr>
        <w:t>（3）现场勘察确认函</w:t>
      </w:r>
    </w:p>
    <w:p w14:paraId="794F15CC">
      <w:pPr>
        <w:spacing w:line="360" w:lineRule="auto"/>
        <w:jc w:val="left"/>
        <w:rPr>
          <w:rFonts w:ascii="微软雅黑" w:hAnsi="微软雅黑" w:eastAsia="微软雅黑" w:cs="微软雅黑"/>
        </w:rPr>
      </w:pPr>
    </w:p>
    <w:p w14:paraId="6BECA44B">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14:paraId="0161E448">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b/>
          <w:bCs/>
        </w:rPr>
        <w:t>依据贵单位</w:t>
      </w:r>
      <w:r>
        <w:rPr>
          <w:rFonts w:hint="eastAsia" w:ascii="微软雅黑" w:hAnsi="微软雅黑" w:eastAsia="微软雅黑" w:cs="微软雅黑"/>
          <w:b/>
          <w:bCs/>
          <w:u w:val="single"/>
        </w:rPr>
        <w:t xml:space="preserve">  </w:t>
      </w:r>
      <w:r>
        <w:rPr>
          <w:rFonts w:hint="eastAsia" w:ascii="华文细黑" w:hAnsi="华文细黑" w:eastAsia="华文细黑" w:cs="华文细黑"/>
          <w:u w:val="single"/>
        </w:rPr>
        <w:t>高配房1号变压器有源滤波无功补偿柜维修（</w:t>
      </w:r>
      <w:r>
        <w:rPr>
          <w:rFonts w:hint="eastAsia" w:ascii="华文细黑" w:hAnsi="华文细黑" w:eastAsia="华文细黑" w:cs="华文细黑"/>
          <w:color w:val="000000"/>
          <w:u w:val="single"/>
        </w:rPr>
        <w:t>项目编号：</w:t>
      </w:r>
      <w:r>
        <w:rPr>
          <w:rFonts w:hint="eastAsia" w:ascii="华文细黑" w:hAnsi="华文细黑" w:eastAsia="华文细黑" w:cs="华文细黑"/>
          <w:u w:val="single"/>
        </w:rPr>
        <w:t xml:space="preserve"> DRY-CG-2025-005 ）</w:t>
      </w:r>
      <w:r>
        <w:rPr>
          <w:rFonts w:hint="eastAsia" w:ascii="微软雅黑" w:hAnsi="微软雅黑" w:eastAsia="微软雅黑" w:cs="微软雅黑"/>
          <w:b/>
          <w:bCs/>
          <w:u w:val="single"/>
        </w:rPr>
        <w:t xml:space="preserve">  </w:t>
      </w:r>
      <w:r>
        <w:rPr>
          <w:rFonts w:hint="eastAsia" w:ascii="微软雅黑" w:hAnsi="微软雅黑" w:eastAsia="微软雅黑" w:cs="微软雅黑"/>
        </w:rPr>
        <w:t>采购文件的要求。我方已于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14:paraId="425BC9AE">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1、经现场勘察，我方已熟悉与该项目相关的施工内容、施工现场和周围交通道路等所有情况。 </w:t>
      </w:r>
    </w:p>
    <w:p w14:paraId="6D0587F0">
      <w:pPr>
        <w:spacing w:line="360" w:lineRule="auto"/>
        <w:ind w:firstLine="48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14:paraId="0F57CC4D">
      <w:pPr>
        <w:spacing w:line="360" w:lineRule="auto"/>
        <w:ind w:firstLine="480" w:firstLineChars="200"/>
        <w:jc w:val="left"/>
        <w:rPr>
          <w:rFonts w:ascii="微软雅黑" w:hAnsi="微软雅黑" w:eastAsia="微软雅黑" w:cs="微软雅黑"/>
        </w:rPr>
      </w:pPr>
    </w:p>
    <w:p w14:paraId="09A682B2">
      <w:pPr>
        <w:pStyle w:val="20"/>
        <w:ind w:firstLine="480"/>
        <w:rPr>
          <w:rFonts w:ascii="微软雅黑" w:hAnsi="微软雅黑" w:eastAsia="微软雅黑" w:cs="微软雅黑"/>
          <w:sz w:val="24"/>
          <w:szCs w:val="24"/>
        </w:rPr>
      </w:pPr>
    </w:p>
    <w:p w14:paraId="53E1A838">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勘察单位(盖章) :</w:t>
      </w:r>
    </w:p>
    <w:p w14:paraId="18D7C509">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勘查单位授权人(签字) :</w:t>
      </w:r>
    </w:p>
    <w:p w14:paraId="02263DA6">
      <w:pPr>
        <w:wordWrap w:val="0"/>
        <w:spacing w:line="360" w:lineRule="auto"/>
        <w:jc w:val="center"/>
        <w:rPr>
          <w:rFonts w:ascii="微软雅黑" w:hAnsi="微软雅黑" w:eastAsia="微软雅黑" w:cs="微软雅黑"/>
        </w:rPr>
      </w:pPr>
    </w:p>
    <w:p w14:paraId="688D19B2">
      <w:pPr>
        <w:rPr>
          <w:rFonts w:ascii="宋体" w:hAnsi="宋体"/>
          <w:color w:val="000000"/>
        </w:rPr>
      </w:pPr>
      <w:r>
        <w:rPr>
          <w:rFonts w:hint="eastAsia" w:ascii="宋体" w:hAnsi="宋体"/>
          <w:color w:val="000000"/>
        </w:rPr>
        <w:br w:type="page"/>
      </w:r>
    </w:p>
    <w:bookmarkEnd w:id="9"/>
    <w:p w14:paraId="1CE67958">
      <w:pPr>
        <w:pStyle w:val="4"/>
        <w:numPr>
          <w:ilvl w:val="2"/>
          <w:numId w:val="0"/>
        </w:numPr>
        <w:jc w:val="center"/>
      </w:pPr>
      <w:r>
        <w:rPr>
          <w:rFonts w:hint="eastAsia"/>
        </w:rPr>
        <w:t>六、技术和服务要求响应偏离表</w:t>
      </w:r>
    </w:p>
    <w:p w14:paraId="0F82AA44">
      <w:pPr>
        <w:pStyle w:val="16"/>
        <w:tabs>
          <w:tab w:val="left" w:pos="6300"/>
        </w:tabs>
        <w:snapToGrid w:val="0"/>
        <w:spacing w:line="312" w:lineRule="auto"/>
        <w:ind w:firstLine="480" w:firstLineChars="200"/>
        <w:rPr>
          <w:rFonts w:ascii="宋体" w:hAnsi="宋体" w:cs="宋体"/>
        </w:rPr>
      </w:pPr>
      <w:r>
        <w:rPr>
          <w:rFonts w:hint="eastAsia" w:ascii="宋体" w:hAnsi="宋体" w:cs="宋体"/>
        </w:rPr>
        <w:t>项目名称：高配房1号变压器有源滤波无功补偿柜维修采购项目</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26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16E09FE6">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77831192">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345FF6E7">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50951FAA">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5B3A5772">
            <w:pPr>
              <w:tabs>
                <w:tab w:val="left" w:pos="6300"/>
              </w:tabs>
              <w:snapToGrid w:val="0"/>
              <w:spacing w:line="312" w:lineRule="auto"/>
              <w:jc w:val="center"/>
              <w:outlineLvl w:val="0"/>
            </w:pPr>
            <w:r>
              <w:rPr>
                <w:rFonts w:hint="eastAsia"/>
              </w:rPr>
              <w:t>备注</w:t>
            </w:r>
          </w:p>
        </w:tc>
      </w:tr>
      <w:tr w14:paraId="2615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276B7E3">
            <w:pPr>
              <w:tabs>
                <w:tab w:val="left" w:pos="6300"/>
              </w:tabs>
              <w:snapToGrid w:val="0"/>
              <w:spacing w:line="312" w:lineRule="auto"/>
              <w:jc w:val="center"/>
              <w:outlineLvl w:val="0"/>
              <w:rPr>
                <w:rFonts w:ascii="宋体" w:hAnsi="宋体" w:cs="宋体"/>
              </w:rPr>
            </w:pPr>
          </w:p>
        </w:tc>
        <w:tc>
          <w:tcPr>
            <w:tcW w:w="2658" w:type="dxa"/>
            <w:vAlign w:val="center"/>
          </w:tcPr>
          <w:p w14:paraId="152351A3">
            <w:pPr>
              <w:tabs>
                <w:tab w:val="left" w:pos="6300"/>
              </w:tabs>
              <w:snapToGrid w:val="0"/>
              <w:spacing w:line="312" w:lineRule="auto"/>
              <w:jc w:val="center"/>
              <w:outlineLvl w:val="0"/>
              <w:rPr>
                <w:rFonts w:ascii="宋体" w:hAnsi="宋体" w:cs="宋体"/>
              </w:rPr>
            </w:pPr>
          </w:p>
        </w:tc>
        <w:tc>
          <w:tcPr>
            <w:tcW w:w="2873" w:type="dxa"/>
            <w:vAlign w:val="center"/>
          </w:tcPr>
          <w:p w14:paraId="6EACF1BF">
            <w:pPr>
              <w:tabs>
                <w:tab w:val="left" w:pos="6300"/>
              </w:tabs>
              <w:snapToGrid w:val="0"/>
              <w:spacing w:line="312" w:lineRule="auto"/>
              <w:jc w:val="center"/>
              <w:outlineLvl w:val="0"/>
              <w:rPr>
                <w:rFonts w:ascii="宋体" w:hAnsi="宋体" w:cs="宋体"/>
              </w:rPr>
            </w:pPr>
          </w:p>
        </w:tc>
        <w:tc>
          <w:tcPr>
            <w:tcW w:w="1509" w:type="dxa"/>
            <w:vAlign w:val="center"/>
          </w:tcPr>
          <w:p w14:paraId="75F0AFFB">
            <w:pPr>
              <w:tabs>
                <w:tab w:val="left" w:pos="6300"/>
              </w:tabs>
              <w:snapToGrid w:val="0"/>
              <w:spacing w:line="312" w:lineRule="auto"/>
              <w:jc w:val="center"/>
              <w:outlineLvl w:val="0"/>
              <w:rPr>
                <w:rFonts w:ascii="宋体" w:hAnsi="宋体" w:cs="宋体"/>
              </w:rPr>
            </w:pPr>
          </w:p>
        </w:tc>
        <w:tc>
          <w:tcPr>
            <w:tcW w:w="1341" w:type="dxa"/>
            <w:vAlign w:val="center"/>
          </w:tcPr>
          <w:p w14:paraId="1D24E713">
            <w:pPr>
              <w:tabs>
                <w:tab w:val="left" w:pos="6300"/>
              </w:tabs>
              <w:snapToGrid w:val="0"/>
              <w:spacing w:line="312" w:lineRule="auto"/>
              <w:jc w:val="center"/>
              <w:outlineLvl w:val="0"/>
              <w:rPr>
                <w:rFonts w:ascii="宋体" w:hAnsi="宋体" w:cs="宋体"/>
              </w:rPr>
            </w:pPr>
          </w:p>
        </w:tc>
      </w:tr>
      <w:tr w14:paraId="7F0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68E39E">
            <w:pPr>
              <w:tabs>
                <w:tab w:val="left" w:pos="6300"/>
              </w:tabs>
              <w:snapToGrid w:val="0"/>
              <w:spacing w:line="312" w:lineRule="auto"/>
              <w:jc w:val="center"/>
              <w:outlineLvl w:val="0"/>
              <w:rPr>
                <w:rFonts w:ascii="宋体" w:hAnsi="宋体" w:cs="宋体"/>
              </w:rPr>
            </w:pPr>
          </w:p>
        </w:tc>
        <w:tc>
          <w:tcPr>
            <w:tcW w:w="2658" w:type="dxa"/>
            <w:vAlign w:val="center"/>
          </w:tcPr>
          <w:p w14:paraId="55D8E24F">
            <w:pPr>
              <w:tabs>
                <w:tab w:val="left" w:pos="6300"/>
              </w:tabs>
              <w:snapToGrid w:val="0"/>
              <w:spacing w:line="312" w:lineRule="auto"/>
              <w:jc w:val="center"/>
              <w:outlineLvl w:val="0"/>
              <w:rPr>
                <w:rFonts w:ascii="宋体" w:hAnsi="宋体" w:cs="宋体"/>
              </w:rPr>
            </w:pPr>
          </w:p>
        </w:tc>
        <w:tc>
          <w:tcPr>
            <w:tcW w:w="2873" w:type="dxa"/>
            <w:vAlign w:val="center"/>
          </w:tcPr>
          <w:p w14:paraId="08D05C31">
            <w:pPr>
              <w:tabs>
                <w:tab w:val="left" w:pos="6300"/>
              </w:tabs>
              <w:snapToGrid w:val="0"/>
              <w:spacing w:line="312" w:lineRule="auto"/>
              <w:jc w:val="center"/>
              <w:outlineLvl w:val="0"/>
              <w:rPr>
                <w:rFonts w:ascii="宋体" w:hAnsi="宋体" w:cs="宋体"/>
              </w:rPr>
            </w:pPr>
          </w:p>
        </w:tc>
        <w:tc>
          <w:tcPr>
            <w:tcW w:w="1509" w:type="dxa"/>
            <w:vAlign w:val="center"/>
          </w:tcPr>
          <w:p w14:paraId="68C05544">
            <w:pPr>
              <w:tabs>
                <w:tab w:val="left" w:pos="6300"/>
              </w:tabs>
              <w:snapToGrid w:val="0"/>
              <w:spacing w:line="312" w:lineRule="auto"/>
              <w:jc w:val="center"/>
              <w:outlineLvl w:val="0"/>
              <w:rPr>
                <w:rFonts w:ascii="宋体" w:hAnsi="宋体" w:cs="宋体"/>
              </w:rPr>
            </w:pPr>
          </w:p>
        </w:tc>
        <w:tc>
          <w:tcPr>
            <w:tcW w:w="1341" w:type="dxa"/>
            <w:vAlign w:val="center"/>
          </w:tcPr>
          <w:p w14:paraId="18098C98">
            <w:pPr>
              <w:tabs>
                <w:tab w:val="left" w:pos="6300"/>
              </w:tabs>
              <w:snapToGrid w:val="0"/>
              <w:spacing w:line="312" w:lineRule="auto"/>
              <w:jc w:val="center"/>
              <w:outlineLvl w:val="0"/>
              <w:rPr>
                <w:rFonts w:ascii="宋体" w:hAnsi="宋体" w:cs="宋体"/>
              </w:rPr>
            </w:pPr>
          </w:p>
        </w:tc>
      </w:tr>
      <w:tr w14:paraId="336F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4E9707">
            <w:pPr>
              <w:tabs>
                <w:tab w:val="left" w:pos="6300"/>
              </w:tabs>
              <w:snapToGrid w:val="0"/>
              <w:spacing w:line="312" w:lineRule="auto"/>
              <w:jc w:val="center"/>
              <w:outlineLvl w:val="0"/>
              <w:rPr>
                <w:rFonts w:ascii="宋体" w:hAnsi="宋体" w:cs="宋体"/>
              </w:rPr>
            </w:pPr>
          </w:p>
        </w:tc>
        <w:tc>
          <w:tcPr>
            <w:tcW w:w="2658" w:type="dxa"/>
            <w:vAlign w:val="center"/>
          </w:tcPr>
          <w:p w14:paraId="18692336">
            <w:pPr>
              <w:tabs>
                <w:tab w:val="left" w:pos="6300"/>
              </w:tabs>
              <w:snapToGrid w:val="0"/>
              <w:spacing w:line="312" w:lineRule="auto"/>
              <w:jc w:val="center"/>
              <w:outlineLvl w:val="0"/>
              <w:rPr>
                <w:rFonts w:ascii="宋体" w:hAnsi="宋体" w:cs="宋体"/>
              </w:rPr>
            </w:pPr>
          </w:p>
        </w:tc>
        <w:tc>
          <w:tcPr>
            <w:tcW w:w="2873" w:type="dxa"/>
            <w:vAlign w:val="center"/>
          </w:tcPr>
          <w:p w14:paraId="716DB1F4">
            <w:pPr>
              <w:tabs>
                <w:tab w:val="left" w:pos="6300"/>
              </w:tabs>
              <w:snapToGrid w:val="0"/>
              <w:spacing w:line="312" w:lineRule="auto"/>
              <w:jc w:val="center"/>
              <w:outlineLvl w:val="0"/>
              <w:rPr>
                <w:rFonts w:ascii="宋体" w:hAnsi="宋体" w:cs="宋体"/>
              </w:rPr>
            </w:pPr>
          </w:p>
        </w:tc>
        <w:tc>
          <w:tcPr>
            <w:tcW w:w="1509" w:type="dxa"/>
            <w:vAlign w:val="center"/>
          </w:tcPr>
          <w:p w14:paraId="60ECCE04">
            <w:pPr>
              <w:tabs>
                <w:tab w:val="left" w:pos="6300"/>
              </w:tabs>
              <w:snapToGrid w:val="0"/>
              <w:spacing w:line="312" w:lineRule="auto"/>
              <w:jc w:val="center"/>
              <w:outlineLvl w:val="0"/>
              <w:rPr>
                <w:rFonts w:ascii="宋体" w:hAnsi="宋体" w:cs="宋体"/>
              </w:rPr>
            </w:pPr>
          </w:p>
        </w:tc>
        <w:tc>
          <w:tcPr>
            <w:tcW w:w="1341" w:type="dxa"/>
            <w:vAlign w:val="center"/>
          </w:tcPr>
          <w:p w14:paraId="110C0A35">
            <w:pPr>
              <w:tabs>
                <w:tab w:val="left" w:pos="6300"/>
              </w:tabs>
              <w:snapToGrid w:val="0"/>
              <w:spacing w:line="312" w:lineRule="auto"/>
              <w:jc w:val="center"/>
              <w:outlineLvl w:val="0"/>
              <w:rPr>
                <w:rFonts w:ascii="宋体" w:hAnsi="宋体" w:cs="宋体"/>
              </w:rPr>
            </w:pPr>
          </w:p>
        </w:tc>
      </w:tr>
      <w:tr w14:paraId="4ED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143DB0B">
            <w:pPr>
              <w:tabs>
                <w:tab w:val="left" w:pos="6300"/>
              </w:tabs>
              <w:snapToGrid w:val="0"/>
              <w:spacing w:line="312" w:lineRule="auto"/>
              <w:jc w:val="center"/>
              <w:outlineLvl w:val="0"/>
              <w:rPr>
                <w:rFonts w:ascii="宋体" w:hAnsi="宋体" w:cs="宋体"/>
              </w:rPr>
            </w:pPr>
          </w:p>
        </w:tc>
        <w:tc>
          <w:tcPr>
            <w:tcW w:w="2658" w:type="dxa"/>
            <w:vAlign w:val="center"/>
          </w:tcPr>
          <w:p w14:paraId="02C69C68">
            <w:pPr>
              <w:tabs>
                <w:tab w:val="left" w:pos="6300"/>
              </w:tabs>
              <w:snapToGrid w:val="0"/>
              <w:spacing w:line="312" w:lineRule="auto"/>
              <w:jc w:val="center"/>
              <w:outlineLvl w:val="0"/>
              <w:rPr>
                <w:rFonts w:ascii="宋体" w:hAnsi="宋体" w:cs="宋体"/>
              </w:rPr>
            </w:pPr>
          </w:p>
        </w:tc>
        <w:tc>
          <w:tcPr>
            <w:tcW w:w="2873" w:type="dxa"/>
            <w:vAlign w:val="center"/>
          </w:tcPr>
          <w:p w14:paraId="4EF8FF75">
            <w:pPr>
              <w:tabs>
                <w:tab w:val="left" w:pos="6300"/>
              </w:tabs>
              <w:snapToGrid w:val="0"/>
              <w:spacing w:line="312" w:lineRule="auto"/>
              <w:jc w:val="center"/>
              <w:outlineLvl w:val="0"/>
              <w:rPr>
                <w:rFonts w:ascii="宋体" w:hAnsi="宋体" w:cs="宋体"/>
              </w:rPr>
            </w:pPr>
          </w:p>
        </w:tc>
        <w:tc>
          <w:tcPr>
            <w:tcW w:w="1509" w:type="dxa"/>
            <w:vAlign w:val="center"/>
          </w:tcPr>
          <w:p w14:paraId="18EC369B">
            <w:pPr>
              <w:tabs>
                <w:tab w:val="left" w:pos="6300"/>
              </w:tabs>
              <w:snapToGrid w:val="0"/>
              <w:spacing w:line="312" w:lineRule="auto"/>
              <w:jc w:val="center"/>
              <w:outlineLvl w:val="0"/>
              <w:rPr>
                <w:rFonts w:ascii="宋体" w:hAnsi="宋体" w:cs="宋体"/>
              </w:rPr>
            </w:pPr>
          </w:p>
        </w:tc>
        <w:tc>
          <w:tcPr>
            <w:tcW w:w="1341" w:type="dxa"/>
            <w:vAlign w:val="center"/>
          </w:tcPr>
          <w:p w14:paraId="5202D290">
            <w:pPr>
              <w:tabs>
                <w:tab w:val="left" w:pos="6300"/>
              </w:tabs>
              <w:snapToGrid w:val="0"/>
              <w:spacing w:line="312" w:lineRule="auto"/>
              <w:jc w:val="center"/>
              <w:outlineLvl w:val="0"/>
              <w:rPr>
                <w:rFonts w:ascii="宋体" w:hAnsi="宋体" w:cs="宋体"/>
              </w:rPr>
            </w:pPr>
          </w:p>
        </w:tc>
      </w:tr>
      <w:tr w14:paraId="5867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880B44F">
            <w:pPr>
              <w:tabs>
                <w:tab w:val="left" w:pos="6300"/>
              </w:tabs>
              <w:snapToGrid w:val="0"/>
              <w:spacing w:line="312" w:lineRule="auto"/>
              <w:jc w:val="center"/>
              <w:outlineLvl w:val="0"/>
              <w:rPr>
                <w:rFonts w:ascii="宋体" w:hAnsi="宋体" w:cs="宋体"/>
              </w:rPr>
            </w:pPr>
          </w:p>
        </w:tc>
        <w:tc>
          <w:tcPr>
            <w:tcW w:w="2658" w:type="dxa"/>
            <w:vAlign w:val="center"/>
          </w:tcPr>
          <w:p w14:paraId="5751663A">
            <w:pPr>
              <w:tabs>
                <w:tab w:val="left" w:pos="6300"/>
              </w:tabs>
              <w:snapToGrid w:val="0"/>
              <w:spacing w:line="312" w:lineRule="auto"/>
              <w:jc w:val="center"/>
              <w:outlineLvl w:val="0"/>
              <w:rPr>
                <w:rFonts w:ascii="宋体" w:hAnsi="宋体" w:cs="宋体"/>
              </w:rPr>
            </w:pPr>
          </w:p>
        </w:tc>
        <w:tc>
          <w:tcPr>
            <w:tcW w:w="2873" w:type="dxa"/>
            <w:vAlign w:val="center"/>
          </w:tcPr>
          <w:p w14:paraId="6FBBE9BD">
            <w:pPr>
              <w:tabs>
                <w:tab w:val="left" w:pos="6300"/>
              </w:tabs>
              <w:snapToGrid w:val="0"/>
              <w:spacing w:line="312" w:lineRule="auto"/>
              <w:jc w:val="center"/>
              <w:outlineLvl w:val="0"/>
              <w:rPr>
                <w:rFonts w:ascii="宋体" w:hAnsi="宋体" w:cs="宋体"/>
              </w:rPr>
            </w:pPr>
          </w:p>
        </w:tc>
        <w:tc>
          <w:tcPr>
            <w:tcW w:w="1509" w:type="dxa"/>
            <w:vAlign w:val="center"/>
          </w:tcPr>
          <w:p w14:paraId="221103BB">
            <w:pPr>
              <w:tabs>
                <w:tab w:val="left" w:pos="6300"/>
              </w:tabs>
              <w:snapToGrid w:val="0"/>
              <w:spacing w:line="312" w:lineRule="auto"/>
              <w:jc w:val="center"/>
              <w:outlineLvl w:val="0"/>
              <w:rPr>
                <w:rFonts w:ascii="宋体" w:hAnsi="宋体" w:cs="宋体"/>
              </w:rPr>
            </w:pPr>
          </w:p>
        </w:tc>
        <w:tc>
          <w:tcPr>
            <w:tcW w:w="1341" w:type="dxa"/>
            <w:vAlign w:val="center"/>
          </w:tcPr>
          <w:p w14:paraId="31CBE6D7">
            <w:pPr>
              <w:tabs>
                <w:tab w:val="left" w:pos="6300"/>
              </w:tabs>
              <w:snapToGrid w:val="0"/>
              <w:spacing w:line="312" w:lineRule="auto"/>
              <w:jc w:val="center"/>
              <w:outlineLvl w:val="0"/>
              <w:rPr>
                <w:rFonts w:ascii="宋体" w:hAnsi="宋体" w:cs="宋体"/>
              </w:rPr>
            </w:pPr>
          </w:p>
        </w:tc>
      </w:tr>
      <w:tr w14:paraId="6747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48491C">
            <w:pPr>
              <w:tabs>
                <w:tab w:val="left" w:pos="6300"/>
              </w:tabs>
              <w:snapToGrid w:val="0"/>
              <w:spacing w:line="312" w:lineRule="auto"/>
              <w:jc w:val="center"/>
              <w:outlineLvl w:val="0"/>
              <w:rPr>
                <w:rFonts w:ascii="宋体" w:hAnsi="宋体" w:cs="宋体"/>
              </w:rPr>
            </w:pPr>
          </w:p>
        </w:tc>
        <w:tc>
          <w:tcPr>
            <w:tcW w:w="2658" w:type="dxa"/>
            <w:vAlign w:val="center"/>
          </w:tcPr>
          <w:p w14:paraId="312D1C03">
            <w:pPr>
              <w:tabs>
                <w:tab w:val="left" w:pos="6300"/>
              </w:tabs>
              <w:snapToGrid w:val="0"/>
              <w:spacing w:line="312" w:lineRule="auto"/>
              <w:jc w:val="center"/>
              <w:outlineLvl w:val="0"/>
              <w:rPr>
                <w:rFonts w:ascii="宋体" w:hAnsi="宋体" w:cs="宋体"/>
              </w:rPr>
            </w:pPr>
          </w:p>
        </w:tc>
        <w:tc>
          <w:tcPr>
            <w:tcW w:w="2873" w:type="dxa"/>
            <w:vAlign w:val="center"/>
          </w:tcPr>
          <w:p w14:paraId="6DE2FA17">
            <w:pPr>
              <w:tabs>
                <w:tab w:val="left" w:pos="6300"/>
              </w:tabs>
              <w:snapToGrid w:val="0"/>
              <w:spacing w:line="312" w:lineRule="auto"/>
              <w:jc w:val="center"/>
              <w:outlineLvl w:val="0"/>
              <w:rPr>
                <w:rFonts w:ascii="宋体" w:hAnsi="宋体" w:cs="宋体"/>
              </w:rPr>
            </w:pPr>
          </w:p>
        </w:tc>
        <w:tc>
          <w:tcPr>
            <w:tcW w:w="1509" w:type="dxa"/>
            <w:vAlign w:val="center"/>
          </w:tcPr>
          <w:p w14:paraId="32DCC90A">
            <w:pPr>
              <w:tabs>
                <w:tab w:val="left" w:pos="6300"/>
              </w:tabs>
              <w:snapToGrid w:val="0"/>
              <w:spacing w:line="312" w:lineRule="auto"/>
              <w:jc w:val="center"/>
              <w:outlineLvl w:val="0"/>
              <w:rPr>
                <w:rFonts w:ascii="宋体" w:hAnsi="宋体" w:cs="宋体"/>
              </w:rPr>
            </w:pPr>
          </w:p>
        </w:tc>
        <w:tc>
          <w:tcPr>
            <w:tcW w:w="1341" w:type="dxa"/>
            <w:vAlign w:val="center"/>
          </w:tcPr>
          <w:p w14:paraId="0AE42E24">
            <w:pPr>
              <w:tabs>
                <w:tab w:val="left" w:pos="6300"/>
              </w:tabs>
              <w:snapToGrid w:val="0"/>
              <w:spacing w:line="312" w:lineRule="auto"/>
              <w:jc w:val="center"/>
              <w:outlineLvl w:val="0"/>
              <w:rPr>
                <w:rFonts w:ascii="宋体" w:hAnsi="宋体" w:cs="宋体"/>
              </w:rPr>
            </w:pPr>
          </w:p>
        </w:tc>
      </w:tr>
      <w:tr w14:paraId="013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848F6E">
            <w:pPr>
              <w:tabs>
                <w:tab w:val="left" w:pos="6300"/>
              </w:tabs>
              <w:snapToGrid w:val="0"/>
              <w:spacing w:line="312" w:lineRule="auto"/>
              <w:jc w:val="center"/>
              <w:outlineLvl w:val="0"/>
              <w:rPr>
                <w:rFonts w:ascii="宋体" w:hAnsi="宋体" w:cs="宋体"/>
              </w:rPr>
            </w:pPr>
          </w:p>
        </w:tc>
        <w:tc>
          <w:tcPr>
            <w:tcW w:w="2658" w:type="dxa"/>
            <w:vAlign w:val="center"/>
          </w:tcPr>
          <w:p w14:paraId="5B4B7D80">
            <w:pPr>
              <w:tabs>
                <w:tab w:val="left" w:pos="6300"/>
              </w:tabs>
              <w:snapToGrid w:val="0"/>
              <w:spacing w:line="312" w:lineRule="auto"/>
              <w:jc w:val="center"/>
              <w:outlineLvl w:val="0"/>
              <w:rPr>
                <w:rFonts w:ascii="宋体" w:hAnsi="宋体" w:cs="宋体"/>
              </w:rPr>
            </w:pPr>
          </w:p>
        </w:tc>
        <w:tc>
          <w:tcPr>
            <w:tcW w:w="2873" w:type="dxa"/>
            <w:vAlign w:val="center"/>
          </w:tcPr>
          <w:p w14:paraId="75AAC14C">
            <w:pPr>
              <w:tabs>
                <w:tab w:val="left" w:pos="6300"/>
              </w:tabs>
              <w:snapToGrid w:val="0"/>
              <w:spacing w:line="312" w:lineRule="auto"/>
              <w:jc w:val="center"/>
              <w:outlineLvl w:val="0"/>
              <w:rPr>
                <w:rFonts w:ascii="宋体" w:hAnsi="宋体" w:cs="宋体"/>
              </w:rPr>
            </w:pPr>
          </w:p>
        </w:tc>
        <w:tc>
          <w:tcPr>
            <w:tcW w:w="1509" w:type="dxa"/>
            <w:vAlign w:val="center"/>
          </w:tcPr>
          <w:p w14:paraId="33F607DF">
            <w:pPr>
              <w:tabs>
                <w:tab w:val="left" w:pos="6300"/>
              </w:tabs>
              <w:snapToGrid w:val="0"/>
              <w:spacing w:line="312" w:lineRule="auto"/>
              <w:jc w:val="center"/>
              <w:outlineLvl w:val="0"/>
              <w:rPr>
                <w:rFonts w:ascii="宋体" w:hAnsi="宋体" w:cs="宋体"/>
              </w:rPr>
            </w:pPr>
          </w:p>
        </w:tc>
        <w:tc>
          <w:tcPr>
            <w:tcW w:w="1341" w:type="dxa"/>
            <w:vAlign w:val="center"/>
          </w:tcPr>
          <w:p w14:paraId="3DB352FE">
            <w:pPr>
              <w:tabs>
                <w:tab w:val="left" w:pos="6300"/>
              </w:tabs>
              <w:snapToGrid w:val="0"/>
              <w:spacing w:line="312" w:lineRule="auto"/>
              <w:jc w:val="center"/>
              <w:outlineLvl w:val="0"/>
              <w:rPr>
                <w:rFonts w:ascii="宋体" w:hAnsi="宋体" w:cs="宋体"/>
              </w:rPr>
            </w:pPr>
          </w:p>
        </w:tc>
      </w:tr>
      <w:tr w14:paraId="64C4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9DFD087">
            <w:pPr>
              <w:tabs>
                <w:tab w:val="left" w:pos="6300"/>
              </w:tabs>
              <w:snapToGrid w:val="0"/>
              <w:spacing w:line="312" w:lineRule="auto"/>
              <w:jc w:val="center"/>
              <w:outlineLvl w:val="0"/>
              <w:rPr>
                <w:rFonts w:ascii="宋体" w:hAnsi="宋体" w:cs="宋体"/>
              </w:rPr>
            </w:pPr>
          </w:p>
        </w:tc>
        <w:tc>
          <w:tcPr>
            <w:tcW w:w="2658" w:type="dxa"/>
            <w:vAlign w:val="center"/>
          </w:tcPr>
          <w:p w14:paraId="23CFED80">
            <w:pPr>
              <w:tabs>
                <w:tab w:val="left" w:pos="6300"/>
              </w:tabs>
              <w:snapToGrid w:val="0"/>
              <w:spacing w:line="312" w:lineRule="auto"/>
              <w:jc w:val="center"/>
              <w:outlineLvl w:val="0"/>
              <w:rPr>
                <w:rFonts w:ascii="宋体" w:hAnsi="宋体" w:cs="宋体"/>
              </w:rPr>
            </w:pPr>
          </w:p>
        </w:tc>
        <w:tc>
          <w:tcPr>
            <w:tcW w:w="2873" w:type="dxa"/>
            <w:vAlign w:val="center"/>
          </w:tcPr>
          <w:p w14:paraId="7AFCBB5E">
            <w:pPr>
              <w:tabs>
                <w:tab w:val="left" w:pos="6300"/>
              </w:tabs>
              <w:snapToGrid w:val="0"/>
              <w:spacing w:line="312" w:lineRule="auto"/>
              <w:jc w:val="center"/>
              <w:outlineLvl w:val="0"/>
              <w:rPr>
                <w:rFonts w:ascii="宋体" w:hAnsi="宋体" w:cs="宋体"/>
              </w:rPr>
            </w:pPr>
          </w:p>
        </w:tc>
        <w:tc>
          <w:tcPr>
            <w:tcW w:w="1509" w:type="dxa"/>
            <w:vAlign w:val="center"/>
          </w:tcPr>
          <w:p w14:paraId="4A6617C7">
            <w:pPr>
              <w:tabs>
                <w:tab w:val="left" w:pos="6300"/>
              </w:tabs>
              <w:snapToGrid w:val="0"/>
              <w:spacing w:line="312" w:lineRule="auto"/>
              <w:jc w:val="center"/>
              <w:outlineLvl w:val="0"/>
              <w:rPr>
                <w:rFonts w:ascii="宋体" w:hAnsi="宋体" w:cs="宋体"/>
              </w:rPr>
            </w:pPr>
          </w:p>
        </w:tc>
        <w:tc>
          <w:tcPr>
            <w:tcW w:w="1341" w:type="dxa"/>
            <w:vAlign w:val="center"/>
          </w:tcPr>
          <w:p w14:paraId="660C3FFD">
            <w:pPr>
              <w:tabs>
                <w:tab w:val="left" w:pos="6300"/>
              </w:tabs>
              <w:snapToGrid w:val="0"/>
              <w:spacing w:line="312" w:lineRule="auto"/>
              <w:jc w:val="center"/>
              <w:outlineLvl w:val="0"/>
              <w:rPr>
                <w:rFonts w:ascii="宋体" w:hAnsi="宋体" w:cs="宋体"/>
              </w:rPr>
            </w:pPr>
          </w:p>
        </w:tc>
      </w:tr>
      <w:tr w14:paraId="295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9DC53F">
            <w:pPr>
              <w:tabs>
                <w:tab w:val="left" w:pos="6300"/>
              </w:tabs>
              <w:snapToGrid w:val="0"/>
              <w:spacing w:line="312" w:lineRule="auto"/>
              <w:jc w:val="center"/>
              <w:outlineLvl w:val="0"/>
              <w:rPr>
                <w:rFonts w:ascii="宋体" w:hAnsi="宋体" w:cs="宋体"/>
              </w:rPr>
            </w:pPr>
          </w:p>
        </w:tc>
        <w:tc>
          <w:tcPr>
            <w:tcW w:w="2658" w:type="dxa"/>
            <w:vAlign w:val="center"/>
          </w:tcPr>
          <w:p w14:paraId="1CA7E509">
            <w:pPr>
              <w:tabs>
                <w:tab w:val="left" w:pos="6300"/>
              </w:tabs>
              <w:snapToGrid w:val="0"/>
              <w:spacing w:line="312" w:lineRule="auto"/>
              <w:jc w:val="center"/>
              <w:outlineLvl w:val="0"/>
              <w:rPr>
                <w:rFonts w:ascii="宋体" w:hAnsi="宋体" w:cs="宋体"/>
              </w:rPr>
            </w:pPr>
          </w:p>
        </w:tc>
        <w:tc>
          <w:tcPr>
            <w:tcW w:w="2873" w:type="dxa"/>
            <w:vAlign w:val="center"/>
          </w:tcPr>
          <w:p w14:paraId="60F1ADB3">
            <w:pPr>
              <w:tabs>
                <w:tab w:val="left" w:pos="6300"/>
              </w:tabs>
              <w:snapToGrid w:val="0"/>
              <w:spacing w:line="312" w:lineRule="auto"/>
              <w:jc w:val="center"/>
              <w:outlineLvl w:val="0"/>
              <w:rPr>
                <w:rFonts w:ascii="宋体" w:hAnsi="宋体" w:cs="宋体"/>
              </w:rPr>
            </w:pPr>
          </w:p>
        </w:tc>
        <w:tc>
          <w:tcPr>
            <w:tcW w:w="1509" w:type="dxa"/>
            <w:vAlign w:val="center"/>
          </w:tcPr>
          <w:p w14:paraId="29E661EE">
            <w:pPr>
              <w:tabs>
                <w:tab w:val="left" w:pos="6300"/>
              </w:tabs>
              <w:snapToGrid w:val="0"/>
              <w:spacing w:line="312" w:lineRule="auto"/>
              <w:jc w:val="center"/>
              <w:outlineLvl w:val="0"/>
              <w:rPr>
                <w:rFonts w:ascii="宋体" w:hAnsi="宋体" w:cs="宋体"/>
              </w:rPr>
            </w:pPr>
          </w:p>
        </w:tc>
        <w:tc>
          <w:tcPr>
            <w:tcW w:w="1341" w:type="dxa"/>
            <w:vAlign w:val="center"/>
          </w:tcPr>
          <w:p w14:paraId="3D356AD2">
            <w:pPr>
              <w:tabs>
                <w:tab w:val="left" w:pos="6300"/>
              </w:tabs>
              <w:snapToGrid w:val="0"/>
              <w:spacing w:line="312" w:lineRule="auto"/>
              <w:jc w:val="center"/>
              <w:outlineLvl w:val="0"/>
              <w:rPr>
                <w:rFonts w:ascii="宋体" w:hAnsi="宋体" w:cs="宋体"/>
              </w:rPr>
            </w:pPr>
          </w:p>
        </w:tc>
      </w:tr>
      <w:tr w14:paraId="497C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3514C4E">
            <w:pPr>
              <w:tabs>
                <w:tab w:val="left" w:pos="6300"/>
              </w:tabs>
              <w:snapToGrid w:val="0"/>
              <w:spacing w:line="312" w:lineRule="auto"/>
              <w:jc w:val="center"/>
              <w:outlineLvl w:val="0"/>
              <w:rPr>
                <w:rFonts w:ascii="宋体" w:hAnsi="宋体" w:cs="宋体"/>
              </w:rPr>
            </w:pPr>
          </w:p>
        </w:tc>
        <w:tc>
          <w:tcPr>
            <w:tcW w:w="2658" w:type="dxa"/>
            <w:vAlign w:val="center"/>
          </w:tcPr>
          <w:p w14:paraId="73F87A6F">
            <w:pPr>
              <w:tabs>
                <w:tab w:val="left" w:pos="6300"/>
              </w:tabs>
              <w:snapToGrid w:val="0"/>
              <w:spacing w:line="312" w:lineRule="auto"/>
              <w:jc w:val="center"/>
              <w:outlineLvl w:val="0"/>
              <w:rPr>
                <w:rFonts w:ascii="宋体" w:hAnsi="宋体" w:cs="宋体"/>
              </w:rPr>
            </w:pPr>
          </w:p>
        </w:tc>
        <w:tc>
          <w:tcPr>
            <w:tcW w:w="2873" w:type="dxa"/>
            <w:vAlign w:val="center"/>
          </w:tcPr>
          <w:p w14:paraId="7439F6D2">
            <w:pPr>
              <w:tabs>
                <w:tab w:val="left" w:pos="6300"/>
              </w:tabs>
              <w:snapToGrid w:val="0"/>
              <w:spacing w:line="312" w:lineRule="auto"/>
              <w:jc w:val="center"/>
              <w:outlineLvl w:val="0"/>
              <w:rPr>
                <w:rFonts w:ascii="宋体" w:hAnsi="宋体" w:cs="宋体"/>
              </w:rPr>
            </w:pPr>
          </w:p>
        </w:tc>
        <w:tc>
          <w:tcPr>
            <w:tcW w:w="1509" w:type="dxa"/>
            <w:vAlign w:val="center"/>
          </w:tcPr>
          <w:p w14:paraId="6C84E1C5">
            <w:pPr>
              <w:tabs>
                <w:tab w:val="left" w:pos="6300"/>
              </w:tabs>
              <w:snapToGrid w:val="0"/>
              <w:spacing w:line="312" w:lineRule="auto"/>
              <w:jc w:val="center"/>
              <w:outlineLvl w:val="0"/>
              <w:rPr>
                <w:rFonts w:ascii="宋体" w:hAnsi="宋体" w:cs="宋体"/>
              </w:rPr>
            </w:pPr>
          </w:p>
        </w:tc>
        <w:tc>
          <w:tcPr>
            <w:tcW w:w="1341" w:type="dxa"/>
            <w:vAlign w:val="center"/>
          </w:tcPr>
          <w:p w14:paraId="19DDAFAA">
            <w:pPr>
              <w:tabs>
                <w:tab w:val="left" w:pos="6300"/>
              </w:tabs>
              <w:snapToGrid w:val="0"/>
              <w:spacing w:line="312" w:lineRule="auto"/>
              <w:jc w:val="center"/>
              <w:outlineLvl w:val="0"/>
              <w:rPr>
                <w:rFonts w:ascii="宋体" w:hAnsi="宋体" w:cs="宋体"/>
              </w:rPr>
            </w:pPr>
          </w:p>
        </w:tc>
      </w:tr>
    </w:tbl>
    <w:p w14:paraId="16C57E6F">
      <w:pPr>
        <w:spacing w:line="312" w:lineRule="auto"/>
        <w:ind w:firstLine="600" w:firstLineChars="250"/>
        <w:rPr>
          <w:rFonts w:ascii="宋体" w:hAnsi="宋体" w:cs="宋体"/>
        </w:rPr>
      </w:pPr>
      <w:r>
        <w:rPr>
          <w:rFonts w:hint="eastAsia" w:ascii="宋体" w:hAnsi="宋体" w:cs="宋体"/>
        </w:rPr>
        <w:t>供应商：                                      法人授权代表：</w:t>
      </w:r>
    </w:p>
    <w:p w14:paraId="025399EC">
      <w:pPr>
        <w:spacing w:line="312" w:lineRule="auto"/>
        <w:rPr>
          <w:rFonts w:ascii="宋体" w:hAnsi="宋体" w:cs="宋体"/>
        </w:rPr>
      </w:pPr>
      <w:r>
        <w:rPr>
          <w:rFonts w:hint="eastAsia" w:ascii="宋体" w:hAnsi="宋体" w:cs="宋体"/>
        </w:rPr>
        <w:t xml:space="preserve">    </w:t>
      </w:r>
    </w:p>
    <w:p w14:paraId="511630E0">
      <w:pPr>
        <w:spacing w:line="312" w:lineRule="auto"/>
        <w:ind w:firstLine="720" w:firstLineChars="300"/>
        <w:rPr>
          <w:rFonts w:ascii="宋体" w:hAnsi="宋体" w:cs="宋体"/>
        </w:rPr>
      </w:pPr>
      <w:r>
        <w:rPr>
          <w:rFonts w:hint="eastAsia" w:ascii="宋体" w:hAnsi="宋体" w:cs="宋体"/>
        </w:rPr>
        <w:t>（供应商公章）                               （签字或盖章）</w:t>
      </w:r>
    </w:p>
    <w:p w14:paraId="54495250">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5BA78E23">
      <w:pPr>
        <w:pStyle w:val="26"/>
      </w:pPr>
    </w:p>
    <w:p w14:paraId="4A6ABE28">
      <w:pPr>
        <w:numPr>
          <w:ilvl w:val="0"/>
          <w:numId w:val="15"/>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15F1CF35">
      <w:pPr>
        <w:numPr>
          <w:ilvl w:val="0"/>
          <w:numId w:val="15"/>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CCE3C12">
      <w:pPr>
        <w:numPr>
          <w:ilvl w:val="0"/>
          <w:numId w:val="15"/>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0ECB0228">
      <w:pPr>
        <w:numPr>
          <w:ilvl w:val="0"/>
          <w:numId w:val="15"/>
        </w:numPr>
        <w:ind w:firstLine="480"/>
      </w:pPr>
      <w:r>
        <w:rPr>
          <w:rFonts w:hint="eastAsia"/>
        </w:rPr>
        <w:t>“</w:t>
      </w:r>
      <w:r>
        <w:t>备注</w:t>
      </w:r>
      <w:r>
        <w:rPr>
          <w:rFonts w:hint="eastAsia"/>
        </w:rPr>
        <w:t>”</w:t>
      </w:r>
      <w:r>
        <w:t>处可填写偏离情况的说明。</w:t>
      </w:r>
    </w:p>
    <w:p w14:paraId="255251F4">
      <w:pPr>
        <w:pStyle w:val="26"/>
      </w:pPr>
    </w:p>
    <w:p w14:paraId="485A87DB">
      <w:pPr>
        <w:ind w:firstLine="480"/>
      </w:pPr>
    </w:p>
    <w:p w14:paraId="43D7951A">
      <w:pPr>
        <w:pStyle w:val="26"/>
      </w:pPr>
    </w:p>
    <w:p w14:paraId="00BD9FAE">
      <w:pPr>
        <w:pStyle w:val="4"/>
        <w:numPr>
          <w:ilvl w:val="2"/>
          <w:numId w:val="0"/>
        </w:numPr>
        <w:jc w:val="center"/>
      </w:pPr>
      <w:r>
        <w:rPr>
          <w:rFonts w:hint="eastAsia"/>
        </w:rPr>
        <w:t>七、商务响应偏离表</w:t>
      </w:r>
    </w:p>
    <w:p w14:paraId="257198E1">
      <w:pPr>
        <w:snapToGrid w:val="0"/>
        <w:spacing w:line="360" w:lineRule="auto"/>
        <w:ind w:firstLine="465"/>
        <w:rPr>
          <w:rFonts w:ascii="宋体" w:hAnsi="宋体" w:cs="宋体"/>
        </w:rPr>
      </w:pPr>
      <w:r>
        <w:rPr>
          <w:rFonts w:hint="eastAsia" w:ascii="宋体" w:hAnsi="宋体" w:cs="宋体"/>
        </w:rPr>
        <w:t>项目名称：高配房1号变压器有源滤波无功补偿柜维修采购项目</w:t>
      </w:r>
    </w:p>
    <w:tbl>
      <w:tblPr>
        <w:tblStyle w:val="21"/>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3ADD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7D974BC8">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2A5E2292">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7BDE6C77">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786CF28F">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74492003">
            <w:pPr>
              <w:tabs>
                <w:tab w:val="left" w:pos="6300"/>
              </w:tabs>
              <w:snapToGrid w:val="0"/>
              <w:spacing w:line="360" w:lineRule="auto"/>
              <w:jc w:val="center"/>
              <w:outlineLvl w:val="0"/>
            </w:pPr>
            <w:r>
              <w:rPr>
                <w:rFonts w:hint="eastAsia"/>
              </w:rPr>
              <w:t>备注</w:t>
            </w:r>
          </w:p>
        </w:tc>
      </w:tr>
      <w:tr w14:paraId="7F4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2FF991C">
            <w:pPr>
              <w:tabs>
                <w:tab w:val="left" w:pos="6300"/>
              </w:tabs>
              <w:snapToGrid w:val="0"/>
              <w:spacing w:line="360" w:lineRule="auto"/>
              <w:jc w:val="center"/>
              <w:outlineLvl w:val="0"/>
              <w:rPr>
                <w:rFonts w:ascii="宋体" w:hAnsi="宋体" w:cs="宋体"/>
              </w:rPr>
            </w:pPr>
          </w:p>
        </w:tc>
        <w:tc>
          <w:tcPr>
            <w:tcW w:w="2400" w:type="dxa"/>
            <w:vAlign w:val="center"/>
          </w:tcPr>
          <w:p w14:paraId="5A6DE4B3">
            <w:pPr>
              <w:tabs>
                <w:tab w:val="left" w:pos="6300"/>
              </w:tabs>
              <w:snapToGrid w:val="0"/>
              <w:spacing w:line="360" w:lineRule="auto"/>
              <w:jc w:val="center"/>
              <w:outlineLvl w:val="0"/>
              <w:rPr>
                <w:rFonts w:ascii="宋体" w:hAnsi="宋体" w:cs="宋体"/>
              </w:rPr>
            </w:pPr>
          </w:p>
        </w:tc>
        <w:tc>
          <w:tcPr>
            <w:tcW w:w="2600" w:type="dxa"/>
            <w:vAlign w:val="center"/>
          </w:tcPr>
          <w:p w14:paraId="05B5CA4A">
            <w:pPr>
              <w:tabs>
                <w:tab w:val="left" w:pos="6300"/>
              </w:tabs>
              <w:snapToGrid w:val="0"/>
              <w:spacing w:line="360" w:lineRule="auto"/>
              <w:jc w:val="center"/>
              <w:outlineLvl w:val="0"/>
              <w:rPr>
                <w:rFonts w:ascii="宋体" w:hAnsi="宋体" w:cs="宋体"/>
              </w:rPr>
            </w:pPr>
          </w:p>
        </w:tc>
        <w:tc>
          <w:tcPr>
            <w:tcW w:w="1275" w:type="dxa"/>
            <w:vAlign w:val="center"/>
          </w:tcPr>
          <w:p w14:paraId="07EE1973">
            <w:pPr>
              <w:tabs>
                <w:tab w:val="left" w:pos="6300"/>
              </w:tabs>
              <w:snapToGrid w:val="0"/>
              <w:spacing w:line="360" w:lineRule="auto"/>
              <w:jc w:val="center"/>
              <w:outlineLvl w:val="0"/>
              <w:rPr>
                <w:rFonts w:ascii="宋体" w:hAnsi="宋体" w:cs="宋体"/>
              </w:rPr>
            </w:pPr>
          </w:p>
        </w:tc>
        <w:tc>
          <w:tcPr>
            <w:tcW w:w="1275" w:type="dxa"/>
            <w:vAlign w:val="center"/>
          </w:tcPr>
          <w:p w14:paraId="391C54D0">
            <w:pPr>
              <w:tabs>
                <w:tab w:val="left" w:pos="6300"/>
              </w:tabs>
              <w:snapToGrid w:val="0"/>
              <w:spacing w:line="360" w:lineRule="auto"/>
              <w:jc w:val="center"/>
              <w:outlineLvl w:val="0"/>
              <w:rPr>
                <w:rFonts w:ascii="宋体" w:hAnsi="宋体" w:cs="宋体"/>
              </w:rPr>
            </w:pPr>
          </w:p>
        </w:tc>
      </w:tr>
      <w:tr w14:paraId="166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7DC9339">
            <w:pPr>
              <w:tabs>
                <w:tab w:val="left" w:pos="6300"/>
              </w:tabs>
              <w:snapToGrid w:val="0"/>
              <w:spacing w:line="360" w:lineRule="auto"/>
              <w:jc w:val="center"/>
              <w:outlineLvl w:val="0"/>
              <w:rPr>
                <w:rFonts w:ascii="宋体" w:hAnsi="宋体" w:cs="宋体"/>
              </w:rPr>
            </w:pPr>
          </w:p>
        </w:tc>
        <w:tc>
          <w:tcPr>
            <w:tcW w:w="2400" w:type="dxa"/>
            <w:vAlign w:val="center"/>
          </w:tcPr>
          <w:p w14:paraId="10552366">
            <w:pPr>
              <w:tabs>
                <w:tab w:val="left" w:pos="6300"/>
              </w:tabs>
              <w:snapToGrid w:val="0"/>
              <w:spacing w:line="360" w:lineRule="auto"/>
              <w:jc w:val="center"/>
              <w:outlineLvl w:val="0"/>
              <w:rPr>
                <w:rFonts w:ascii="宋体" w:hAnsi="宋体" w:cs="宋体"/>
              </w:rPr>
            </w:pPr>
          </w:p>
        </w:tc>
        <w:tc>
          <w:tcPr>
            <w:tcW w:w="2600" w:type="dxa"/>
            <w:vAlign w:val="center"/>
          </w:tcPr>
          <w:p w14:paraId="167E4B1F">
            <w:pPr>
              <w:tabs>
                <w:tab w:val="left" w:pos="6300"/>
              </w:tabs>
              <w:snapToGrid w:val="0"/>
              <w:spacing w:line="360" w:lineRule="auto"/>
              <w:jc w:val="center"/>
              <w:outlineLvl w:val="0"/>
              <w:rPr>
                <w:rFonts w:ascii="宋体" w:hAnsi="宋体" w:cs="宋体"/>
              </w:rPr>
            </w:pPr>
          </w:p>
        </w:tc>
        <w:tc>
          <w:tcPr>
            <w:tcW w:w="1275" w:type="dxa"/>
            <w:vAlign w:val="center"/>
          </w:tcPr>
          <w:p w14:paraId="07780725">
            <w:pPr>
              <w:tabs>
                <w:tab w:val="left" w:pos="6300"/>
              </w:tabs>
              <w:snapToGrid w:val="0"/>
              <w:spacing w:line="360" w:lineRule="auto"/>
              <w:jc w:val="center"/>
              <w:outlineLvl w:val="0"/>
              <w:rPr>
                <w:rFonts w:ascii="宋体" w:hAnsi="宋体" w:cs="宋体"/>
              </w:rPr>
            </w:pPr>
          </w:p>
        </w:tc>
        <w:tc>
          <w:tcPr>
            <w:tcW w:w="1275" w:type="dxa"/>
            <w:vAlign w:val="center"/>
          </w:tcPr>
          <w:p w14:paraId="013E53F6">
            <w:pPr>
              <w:tabs>
                <w:tab w:val="left" w:pos="6300"/>
              </w:tabs>
              <w:snapToGrid w:val="0"/>
              <w:spacing w:line="360" w:lineRule="auto"/>
              <w:jc w:val="center"/>
              <w:outlineLvl w:val="0"/>
              <w:rPr>
                <w:rFonts w:ascii="宋体" w:hAnsi="宋体" w:cs="宋体"/>
              </w:rPr>
            </w:pPr>
          </w:p>
        </w:tc>
      </w:tr>
      <w:tr w14:paraId="6F12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091EE06">
            <w:pPr>
              <w:tabs>
                <w:tab w:val="left" w:pos="6300"/>
              </w:tabs>
              <w:snapToGrid w:val="0"/>
              <w:spacing w:line="360" w:lineRule="auto"/>
              <w:jc w:val="center"/>
              <w:outlineLvl w:val="0"/>
              <w:rPr>
                <w:rFonts w:ascii="宋体" w:hAnsi="宋体" w:cs="宋体"/>
              </w:rPr>
            </w:pPr>
          </w:p>
        </w:tc>
        <w:tc>
          <w:tcPr>
            <w:tcW w:w="2400" w:type="dxa"/>
            <w:vAlign w:val="center"/>
          </w:tcPr>
          <w:p w14:paraId="6CFEE68C">
            <w:pPr>
              <w:tabs>
                <w:tab w:val="left" w:pos="6300"/>
              </w:tabs>
              <w:snapToGrid w:val="0"/>
              <w:spacing w:line="360" w:lineRule="auto"/>
              <w:jc w:val="center"/>
              <w:outlineLvl w:val="0"/>
              <w:rPr>
                <w:rFonts w:ascii="宋体" w:hAnsi="宋体" w:cs="宋体"/>
              </w:rPr>
            </w:pPr>
          </w:p>
        </w:tc>
        <w:tc>
          <w:tcPr>
            <w:tcW w:w="2600" w:type="dxa"/>
            <w:vAlign w:val="center"/>
          </w:tcPr>
          <w:p w14:paraId="38F3F2B1">
            <w:pPr>
              <w:tabs>
                <w:tab w:val="left" w:pos="6300"/>
              </w:tabs>
              <w:snapToGrid w:val="0"/>
              <w:spacing w:line="360" w:lineRule="auto"/>
              <w:jc w:val="center"/>
              <w:outlineLvl w:val="0"/>
              <w:rPr>
                <w:rFonts w:ascii="宋体" w:hAnsi="宋体" w:cs="宋体"/>
              </w:rPr>
            </w:pPr>
          </w:p>
        </w:tc>
        <w:tc>
          <w:tcPr>
            <w:tcW w:w="1275" w:type="dxa"/>
            <w:vAlign w:val="center"/>
          </w:tcPr>
          <w:p w14:paraId="016AA4C5">
            <w:pPr>
              <w:tabs>
                <w:tab w:val="left" w:pos="6300"/>
              </w:tabs>
              <w:snapToGrid w:val="0"/>
              <w:spacing w:line="360" w:lineRule="auto"/>
              <w:jc w:val="center"/>
              <w:outlineLvl w:val="0"/>
              <w:rPr>
                <w:rFonts w:ascii="宋体" w:hAnsi="宋体" w:cs="宋体"/>
              </w:rPr>
            </w:pPr>
          </w:p>
        </w:tc>
        <w:tc>
          <w:tcPr>
            <w:tcW w:w="1275" w:type="dxa"/>
            <w:vAlign w:val="center"/>
          </w:tcPr>
          <w:p w14:paraId="719BFB57">
            <w:pPr>
              <w:tabs>
                <w:tab w:val="left" w:pos="6300"/>
              </w:tabs>
              <w:snapToGrid w:val="0"/>
              <w:spacing w:line="360" w:lineRule="auto"/>
              <w:jc w:val="center"/>
              <w:outlineLvl w:val="0"/>
              <w:rPr>
                <w:rFonts w:ascii="宋体" w:hAnsi="宋体" w:cs="宋体"/>
              </w:rPr>
            </w:pPr>
          </w:p>
        </w:tc>
      </w:tr>
      <w:tr w14:paraId="00F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0293779">
            <w:pPr>
              <w:tabs>
                <w:tab w:val="left" w:pos="6300"/>
              </w:tabs>
              <w:snapToGrid w:val="0"/>
              <w:spacing w:line="360" w:lineRule="auto"/>
              <w:jc w:val="center"/>
              <w:outlineLvl w:val="0"/>
              <w:rPr>
                <w:rFonts w:ascii="宋体" w:hAnsi="宋体" w:cs="宋体"/>
              </w:rPr>
            </w:pPr>
          </w:p>
        </w:tc>
        <w:tc>
          <w:tcPr>
            <w:tcW w:w="2400" w:type="dxa"/>
            <w:vAlign w:val="center"/>
          </w:tcPr>
          <w:p w14:paraId="3154A968">
            <w:pPr>
              <w:tabs>
                <w:tab w:val="left" w:pos="6300"/>
              </w:tabs>
              <w:snapToGrid w:val="0"/>
              <w:spacing w:line="360" w:lineRule="auto"/>
              <w:jc w:val="center"/>
              <w:outlineLvl w:val="0"/>
              <w:rPr>
                <w:rFonts w:ascii="宋体" w:hAnsi="宋体" w:cs="宋体"/>
              </w:rPr>
            </w:pPr>
          </w:p>
        </w:tc>
        <w:tc>
          <w:tcPr>
            <w:tcW w:w="2600" w:type="dxa"/>
            <w:vAlign w:val="center"/>
          </w:tcPr>
          <w:p w14:paraId="2AB23E28">
            <w:pPr>
              <w:tabs>
                <w:tab w:val="left" w:pos="6300"/>
              </w:tabs>
              <w:snapToGrid w:val="0"/>
              <w:spacing w:line="360" w:lineRule="auto"/>
              <w:jc w:val="center"/>
              <w:outlineLvl w:val="0"/>
              <w:rPr>
                <w:rFonts w:ascii="宋体" w:hAnsi="宋体" w:cs="宋体"/>
              </w:rPr>
            </w:pPr>
          </w:p>
        </w:tc>
        <w:tc>
          <w:tcPr>
            <w:tcW w:w="1275" w:type="dxa"/>
            <w:vAlign w:val="center"/>
          </w:tcPr>
          <w:p w14:paraId="3C6C026B">
            <w:pPr>
              <w:tabs>
                <w:tab w:val="left" w:pos="6300"/>
              </w:tabs>
              <w:snapToGrid w:val="0"/>
              <w:spacing w:line="360" w:lineRule="auto"/>
              <w:jc w:val="center"/>
              <w:outlineLvl w:val="0"/>
              <w:rPr>
                <w:rFonts w:ascii="宋体" w:hAnsi="宋体" w:cs="宋体"/>
              </w:rPr>
            </w:pPr>
          </w:p>
        </w:tc>
        <w:tc>
          <w:tcPr>
            <w:tcW w:w="1275" w:type="dxa"/>
            <w:vAlign w:val="center"/>
          </w:tcPr>
          <w:p w14:paraId="5D4FBEF0">
            <w:pPr>
              <w:tabs>
                <w:tab w:val="left" w:pos="6300"/>
              </w:tabs>
              <w:snapToGrid w:val="0"/>
              <w:spacing w:line="360" w:lineRule="auto"/>
              <w:jc w:val="center"/>
              <w:outlineLvl w:val="0"/>
              <w:rPr>
                <w:rFonts w:ascii="宋体" w:hAnsi="宋体" w:cs="宋体"/>
              </w:rPr>
            </w:pPr>
          </w:p>
        </w:tc>
      </w:tr>
      <w:tr w14:paraId="75A7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3D7656D">
            <w:pPr>
              <w:tabs>
                <w:tab w:val="left" w:pos="6300"/>
              </w:tabs>
              <w:snapToGrid w:val="0"/>
              <w:spacing w:line="360" w:lineRule="auto"/>
              <w:jc w:val="center"/>
              <w:outlineLvl w:val="0"/>
              <w:rPr>
                <w:rFonts w:ascii="宋体" w:hAnsi="宋体" w:cs="宋体"/>
              </w:rPr>
            </w:pPr>
          </w:p>
        </w:tc>
        <w:tc>
          <w:tcPr>
            <w:tcW w:w="2400" w:type="dxa"/>
            <w:vAlign w:val="center"/>
          </w:tcPr>
          <w:p w14:paraId="14C773AB">
            <w:pPr>
              <w:tabs>
                <w:tab w:val="left" w:pos="6300"/>
              </w:tabs>
              <w:snapToGrid w:val="0"/>
              <w:spacing w:line="360" w:lineRule="auto"/>
              <w:jc w:val="center"/>
              <w:outlineLvl w:val="0"/>
              <w:rPr>
                <w:rFonts w:ascii="宋体" w:hAnsi="宋体" w:cs="宋体"/>
              </w:rPr>
            </w:pPr>
          </w:p>
        </w:tc>
        <w:tc>
          <w:tcPr>
            <w:tcW w:w="2600" w:type="dxa"/>
            <w:vAlign w:val="center"/>
          </w:tcPr>
          <w:p w14:paraId="4807B62E">
            <w:pPr>
              <w:tabs>
                <w:tab w:val="left" w:pos="6300"/>
              </w:tabs>
              <w:snapToGrid w:val="0"/>
              <w:spacing w:line="360" w:lineRule="auto"/>
              <w:jc w:val="center"/>
              <w:outlineLvl w:val="0"/>
              <w:rPr>
                <w:rFonts w:ascii="宋体" w:hAnsi="宋体" w:cs="宋体"/>
              </w:rPr>
            </w:pPr>
          </w:p>
        </w:tc>
        <w:tc>
          <w:tcPr>
            <w:tcW w:w="1275" w:type="dxa"/>
            <w:vAlign w:val="center"/>
          </w:tcPr>
          <w:p w14:paraId="20AAE7C8">
            <w:pPr>
              <w:tabs>
                <w:tab w:val="left" w:pos="6300"/>
              </w:tabs>
              <w:snapToGrid w:val="0"/>
              <w:spacing w:line="360" w:lineRule="auto"/>
              <w:jc w:val="center"/>
              <w:outlineLvl w:val="0"/>
              <w:rPr>
                <w:rFonts w:ascii="宋体" w:hAnsi="宋体" w:cs="宋体"/>
              </w:rPr>
            </w:pPr>
          </w:p>
        </w:tc>
        <w:tc>
          <w:tcPr>
            <w:tcW w:w="1275" w:type="dxa"/>
            <w:vAlign w:val="center"/>
          </w:tcPr>
          <w:p w14:paraId="77A3B8D7">
            <w:pPr>
              <w:tabs>
                <w:tab w:val="left" w:pos="6300"/>
              </w:tabs>
              <w:snapToGrid w:val="0"/>
              <w:spacing w:line="360" w:lineRule="auto"/>
              <w:jc w:val="center"/>
              <w:outlineLvl w:val="0"/>
              <w:rPr>
                <w:rFonts w:ascii="宋体" w:hAnsi="宋体" w:cs="宋体"/>
              </w:rPr>
            </w:pPr>
          </w:p>
        </w:tc>
      </w:tr>
      <w:tr w14:paraId="160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E1BD720">
            <w:pPr>
              <w:tabs>
                <w:tab w:val="left" w:pos="6300"/>
              </w:tabs>
              <w:snapToGrid w:val="0"/>
              <w:spacing w:line="360" w:lineRule="auto"/>
              <w:jc w:val="center"/>
              <w:outlineLvl w:val="0"/>
              <w:rPr>
                <w:rFonts w:ascii="宋体" w:hAnsi="宋体" w:cs="宋体"/>
              </w:rPr>
            </w:pPr>
          </w:p>
        </w:tc>
        <w:tc>
          <w:tcPr>
            <w:tcW w:w="2400" w:type="dxa"/>
            <w:vAlign w:val="center"/>
          </w:tcPr>
          <w:p w14:paraId="2C5FDBC2">
            <w:pPr>
              <w:tabs>
                <w:tab w:val="left" w:pos="6300"/>
              </w:tabs>
              <w:snapToGrid w:val="0"/>
              <w:spacing w:line="360" w:lineRule="auto"/>
              <w:jc w:val="center"/>
              <w:outlineLvl w:val="0"/>
              <w:rPr>
                <w:rFonts w:ascii="宋体" w:hAnsi="宋体" w:cs="宋体"/>
              </w:rPr>
            </w:pPr>
          </w:p>
        </w:tc>
        <w:tc>
          <w:tcPr>
            <w:tcW w:w="2600" w:type="dxa"/>
            <w:vAlign w:val="center"/>
          </w:tcPr>
          <w:p w14:paraId="2642CF7E">
            <w:pPr>
              <w:tabs>
                <w:tab w:val="left" w:pos="6300"/>
              </w:tabs>
              <w:snapToGrid w:val="0"/>
              <w:spacing w:line="360" w:lineRule="auto"/>
              <w:jc w:val="center"/>
              <w:outlineLvl w:val="0"/>
              <w:rPr>
                <w:rFonts w:ascii="宋体" w:hAnsi="宋体" w:cs="宋体"/>
              </w:rPr>
            </w:pPr>
          </w:p>
        </w:tc>
        <w:tc>
          <w:tcPr>
            <w:tcW w:w="1275" w:type="dxa"/>
            <w:vAlign w:val="center"/>
          </w:tcPr>
          <w:p w14:paraId="44B15AB1">
            <w:pPr>
              <w:tabs>
                <w:tab w:val="left" w:pos="6300"/>
              </w:tabs>
              <w:snapToGrid w:val="0"/>
              <w:spacing w:line="360" w:lineRule="auto"/>
              <w:jc w:val="center"/>
              <w:outlineLvl w:val="0"/>
              <w:rPr>
                <w:rFonts w:ascii="宋体" w:hAnsi="宋体" w:cs="宋体"/>
              </w:rPr>
            </w:pPr>
          </w:p>
        </w:tc>
        <w:tc>
          <w:tcPr>
            <w:tcW w:w="1275" w:type="dxa"/>
            <w:vAlign w:val="center"/>
          </w:tcPr>
          <w:p w14:paraId="3136F71D">
            <w:pPr>
              <w:tabs>
                <w:tab w:val="left" w:pos="6300"/>
              </w:tabs>
              <w:snapToGrid w:val="0"/>
              <w:spacing w:line="360" w:lineRule="auto"/>
              <w:jc w:val="center"/>
              <w:outlineLvl w:val="0"/>
              <w:rPr>
                <w:rFonts w:ascii="宋体" w:hAnsi="宋体" w:cs="宋体"/>
              </w:rPr>
            </w:pPr>
          </w:p>
        </w:tc>
      </w:tr>
    </w:tbl>
    <w:p w14:paraId="471842CD">
      <w:pPr>
        <w:snapToGrid w:val="0"/>
        <w:spacing w:line="360" w:lineRule="auto"/>
        <w:ind w:firstLine="465"/>
        <w:rPr>
          <w:rFonts w:ascii="宋体" w:hAnsi="宋体" w:cs="宋体"/>
        </w:rPr>
      </w:pPr>
    </w:p>
    <w:p w14:paraId="0B73C5BC">
      <w:pPr>
        <w:spacing w:line="360" w:lineRule="auto"/>
        <w:ind w:firstLine="600" w:firstLineChars="250"/>
        <w:rPr>
          <w:rFonts w:ascii="宋体" w:hAnsi="宋体" w:cs="宋体"/>
        </w:rPr>
      </w:pPr>
      <w:r>
        <w:rPr>
          <w:rFonts w:hint="eastAsia" w:ascii="宋体" w:hAnsi="宋体" w:cs="宋体"/>
        </w:rPr>
        <w:t>供应商：                                      法人授权代表：</w:t>
      </w:r>
    </w:p>
    <w:p w14:paraId="5B4CC626">
      <w:pPr>
        <w:spacing w:line="360" w:lineRule="auto"/>
        <w:rPr>
          <w:rFonts w:ascii="宋体" w:hAnsi="宋体" w:cs="宋体"/>
        </w:rPr>
      </w:pPr>
      <w:r>
        <w:rPr>
          <w:rFonts w:hint="eastAsia" w:ascii="宋体" w:hAnsi="宋体" w:cs="宋体"/>
        </w:rPr>
        <w:t xml:space="preserve">    </w:t>
      </w:r>
    </w:p>
    <w:p w14:paraId="26997020">
      <w:pPr>
        <w:spacing w:line="360" w:lineRule="auto"/>
        <w:ind w:firstLine="360" w:firstLineChars="150"/>
        <w:rPr>
          <w:rFonts w:ascii="宋体" w:hAnsi="宋体" w:cs="宋体"/>
        </w:rPr>
      </w:pPr>
      <w:r>
        <w:rPr>
          <w:rFonts w:hint="eastAsia" w:ascii="宋体" w:hAnsi="宋体" w:cs="宋体"/>
        </w:rPr>
        <w:t>（供应商公章）                                 （签字或盖章）</w:t>
      </w:r>
    </w:p>
    <w:p w14:paraId="409ED8C2">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0CC64514">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2BE01ACE">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FA69EEE">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551F225E">
      <w:pPr>
        <w:ind w:left="480"/>
      </w:pPr>
      <w:r>
        <w:rPr>
          <w:rFonts w:hint="eastAsia"/>
        </w:rPr>
        <w:t>4. “</w:t>
      </w:r>
      <w:r>
        <w:t>备注</w:t>
      </w:r>
      <w:r>
        <w:rPr>
          <w:rFonts w:hint="eastAsia"/>
        </w:rPr>
        <w:t>”</w:t>
      </w:r>
      <w:r>
        <w:t>处可填写偏离情况的说明。</w:t>
      </w:r>
    </w:p>
    <w:p w14:paraId="783E3E70">
      <w:pPr>
        <w:ind w:firstLine="480"/>
      </w:pPr>
    </w:p>
    <w:p w14:paraId="63D02B3D">
      <w:pPr>
        <w:rPr>
          <w:rFonts w:ascii="华文细黑" w:hAnsi="华文细黑" w:eastAsia="华文细黑" w:cs="华文细黑"/>
        </w:rPr>
      </w:pPr>
    </w:p>
    <w:p w14:paraId="7D11ACF2">
      <w:pPr>
        <w:pStyle w:val="26"/>
      </w:pPr>
    </w:p>
    <w:p w14:paraId="0FECDC01">
      <w:pPr>
        <w:pStyle w:val="25"/>
        <w:spacing w:line="500" w:lineRule="exact"/>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89E017A"/>
    <w:multiLevelType w:val="singleLevel"/>
    <w:tmpl w:val="989E017A"/>
    <w:lvl w:ilvl="0" w:tentative="0">
      <w:start w:val="3"/>
      <w:numFmt w:val="decimal"/>
      <w:suff w:val="space"/>
      <w:lvlText w:val="%1）"/>
      <w:lvlJc w:val="left"/>
    </w:lvl>
  </w:abstractNum>
  <w:abstractNum w:abstractNumId="2">
    <w:nsid w:val="ACDB75C0"/>
    <w:multiLevelType w:val="singleLevel"/>
    <w:tmpl w:val="ACDB75C0"/>
    <w:lvl w:ilvl="0" w:tentative="0">
      <w:start w:val="1"/>
      <w:numFmt w:val="decimal"/>
      <w:suff w:val="nothing"/>
      <w:lvlText w:val="%1．"/>
      <w:lvlJc w:val="left"/>
      <w:pPr>
        <w:ind w:left="0" w:firstLine="400"/>
      </w:pPr>
      <w:rPr>
        <w:rFonts w:hint="default"/>
      </w:rPr>
    </w:lvl>
  </w:abstractNum>
  <w:abstractNum w:abstractNumId="3">
    <w:nsid w:val="E9EB6DAA"/>
    <w:multiLevelType w:val="singleLevel"/>
    <w:tmpl w:val="E9EB6DAA"/>
    <w:lvl w:ilvl="0" w:tentative="0">
      <w:start w:val="1"/>
      <w:numFmt w:val="decimal"/>
      <w:lvlText w:val="%1)"/>
      <w:lvlJc w:val="left"/>
      <w:pPr>
        <w:ind w:left="425" w:hanging="425"/>
      </w:pPr>
      <w:rPr>
        <w:rFonts w:hint="default"/>
      </w:rPr>
    </w:lvl>
  </w:abstractNum>
  <w:abstractNum w:abstractNumId="4">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32"/>
        </w:tabs>
        <w:ind w:left="-1232" w:hanging="420"/>
      </w:pPr>
    </w:lvl>
    <w:lvl w:ilvl="2" w:tentative="0">
      <w:start w:val="1"/>
      <w:numFmt w:val="lowerRoman"/>
      <w:lvlText w:val="%3."/>
      <w:lvlJc w:val="right"/>
      <w:pPr>
        <w:tabs>
          <w:tab w:val="left" w:pos="-812"/>
        </w:tabs>
        <w:ind w:left="-812" w:hanging="420"/>
      </w:pPr>
    </w:lvl>
    <w:lvl w:ilvl="3" w:tentative="0">
      <w:start w:val="1"/>
      <w:numFmt w:val="decimal"/>
      <w:lvlText w:val="%4."/>
      <w:lvlJc w:val="left"/>
      <w:pPr>
        <w:tabs>
          <w:tab w:val="left" w:pos="-392"/>
        </w:tabs>
        <w:ind w:left="-392" w:hanging="420"/>
      </w:pPr>
    </w:lvl>
    <w:lvl w:ilvl="4" w:tentative="0">
      <w:start w:val="1"/>
      <w:numFmt w:val="lowerLetter"/>
      <w:lvlText w:val="%5)"/>
      <w:lvlJc w:val="left"/>
      <w:pPr>
        <w:tabs>
          <w:tab w:val="left" w:pos="28"/>
        </w:tabs>
        <w:ind w:left="28" w:hanging="420"/>
      </w:pPr>
    </w:lvl>
    <w:lvl w:ilvl="5" w:tentative="0">
      <w:start w:val="1"/>
      <w:numFmt w:val="lowerRoman"/>
      <w:lvlText w:val="%6."/>
      <w:lvlJc w:val="right"/>
      <w:pPr>
        <w:tabs>
          <w:tab w:val="left" w:pos="448"/>
        </w:tabs>
        <w:ind w:left="448" w:hanging="420"/>
      </w:pPr>
    </w:lvl>
    <w:lvl w:ilvl="6" w:tentative="0">
      <w:start w:val="1"/>
      <w:numFmt w:val="decimal"/>
      <w:lvlText w:val="%7."/>
      <w:lvlJc w:val="left"/>
      <w:pPr>
        <w:tabs>
          <w:tab w:val="left" w:pos="868"/>
        </w:tabs>
        <w:ind w:left="868" w:hanging="420"/>
      </w:pPr>
    </w:lvl>
    <w:lvl w:ilvl="7" w:tentative="0">
      <w:start w:val="1"/>
      <w:numFmt w:val="lowerLetter"/>
      <w:lvlText w:val="%8)"/>
      <w:lvlJc w:val="left"/>
      <w:pPr>
        <w:tabs>
          <w:tab w:val="left" w:pos="1288"/>
        </w:tabs>
        <w:ind w:left="1288" w:hanging="420"/>
      </w:pPr>
    </w:lvl>
    <w:lvl w:ilvl="8" w:tentative="0">
      <w:start w:val="1"/>
      <w:numFmt w:val="lowerRoman"/>
      <w:lvlText w:val="%9."/>
      <w:lvlJc w:val="right"/>
      <w:pPr>
        <w:tabs>
          <w:tab w:val="left" w:pos="1708"/>
        </w:tabs>
        <w:ind w:left="1708" w:hanging="420"/>
      </w:p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03E089ED"/>
    <w:multiLevelType w:val="singleLevel"/>
    <w:tmpl w:val="03E089ED"/>
    <w:lvl w:ilvl="0" w:tentative="0">
      <w:start w:val="1"/>
      <w:numFmt w:val="decimal"/>
      <w:lvlText w:val="%1."/>
      <w:lvlJc w:val="left"/>
      <w:pPr>
        <w:tabs>
          <w:tab w:val="left" w:pos="312"/>
        </w:tabs>
      </w:p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348A5B1C"/>
    <w:multiLevelType w:val="singleLevel"/>
    <w:tmpl w:val="348A5B1C"/>
    <w:lvl w:ilvl="0" w:tentative="0">
      <w:start w:val="1"/>
      <w:numFmt w:val="decimal"/>
      <w:lvlText w:val="%1."/>
      <w:lvlJc w:val="left"/>
      <w:pPr>
        <w:ind w:left="425" w:hanging="425"/>
      </w:pPr>
      <w:rPr>
        <w:rFonts w:hint="default"/>
      </w:rPr>
    </w:lvl>
  </w:abstractNum>
  <w:abstractNum w:abstractNumId="11">
    <w:nsid w:val="4731D79B"/>
    <w:multiLevelType w:val="singleLevel"/>
    <w:tmpl w:val="4731D79B"/>
    <w:lvl w:ilvl="0" w:tentative="0">
      <w:start w:val="1"/>
      <w:numFmt w:val="decimal"/>
      <w:lvlText w:val="%1)"/>
      <w:lvlJc w:val="left"/>
      <w:pPr>
        <w:ind w:left="425" w:hanging="425"/>
      </w:pPr>
      <w:rPr>
        <w:rFonts w:hint="default"/>
      </w:rPr>
    </w:lvl>
  </w:abstractNum>
  <w:abstractNum w:abstractNumId="12">
    <w:nsid w:val="5BF65183"/>
    <w:multiLevelType w:val="singleLevel"/>
    <w:tmpl w:val="5BF65183"/>
    <w:lvl w:ilvl="0" w:tentative="0">
      <w:start w:val="1"/>
      <w:numFmt w:val="decimal"/>
      <w:lvlText w:val="%1."/>
      <w:lvlJc w:val="left"/>
      <w:pPr>
        <w:ind w:left="425" w:hanging="425"/>
      </w:pPr>
      <w:rPr>
        <w:rFonts w:hint="default"/>
      </w:rPr>
    </w:lvl>
  </w:abstractNum>
  <w:abstractNum w:abstractNumId="13">
    <w:nsid w:val="60932507"/>
    <w:multiLevelType w:val="singleLevel"/>
    <w:tmpl w:val="60932507"/>
    <w:lvl w:ilvl="0" w:tentative="0">
      <w:start w:val="1"/>
      <w:numFmt w:val="decimal"/>
      <w:suff w:val="nothing"/>
      <w:lvlText w:val="%1．"/>
      <w:lvlJc w:val="left"/>
      <w:pPr>
        <w:ind w:left="0" w:firstLine="400"/>
      </w:pPr>
      <w:rPr>
        <w:rFonts w:hint="default"/>
      </w:rPr>
    </w:lvl>
  </w:abstractNum>
  <w:abstractNum w:abstractNumId="14">
    <w:nsid w:val="753AB83E"/>
    <w:multiLevelType w:val="singleLevel"/>
    <w:tmpl w:val="753AB83E"/>
    <w:lvl w:ilvl="0" w:tentative="0">
      <w:start w:val="2"/>
      <w:numFmt w:val="decimal"/>
      <w:suff w:val="nothing"/>
      <w:lvlText w:val="%1）"/>
      <w:lvlJc w:val="left"/>
    </w:lvl>
  </w:abstractNum>
  <w:num w:numId="1">
    <w:abstractNumId w:val="5"/>
  </w:num>
  <w:num w:numId="2">
    <w:abstractNumId w:val="12"/>
  </w:num>
  <w:num w:numId="3">
    <w:abstractNumId w:val="2"/>
  </w:num>
  <w:num w:numId="4">
    <w:abstractNumId w:val="13"/>
  </w:num>
  <w:num w:numId="5">
    <w:abstractNumId w:val="3"/>
  </w:num>
  <w:num w:numId="6">
    <w:abstractNumId w:val="11"/>
  </w:num>
  <w:num w:numId="7">
    <w:abstractNumId w:val="14"/>
  </w:num>
  <w:num w:numId="8">
    <w:abstractNumId w:val="4"/>
  </w:num>
  <w:num w:numId="9">
    <w:abstractNumId w:val="1"/>
  </w:num>
  <w:num w:numId="10">
    <w:abstractNumId w:val="10"/>
  </w:num>
  <w:num w:numId="11">
    <w:abstractNumId w:val="6"/>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0C7AD0"/>
    <w:rsid w:val="001874B9"/>
    <w:rsid w:val="00381E09"/>
    <w:rsid w:val="00403D5A"/>
    <w:rsid w:val="0082524A"/>
    <w:rsid w:val="00BB4DF6"/>
    <w:rsid w:val="00C92D2B"/>
    <w:rsid w:val="00D51761"/>
    <w:rsid w:val="00E822F9"/>
    <w:rsid w:val="00F32906"/>
    <w:rsid w:val="00FB7127"/>
    <w:rsid w:val="0154230C"/>
    <w:rsid w:val="04425FE9"/>
    <w:rsid w:val="04840E11"/>
    <w:rsid w:val="09294C09"/>
    <w:rsid w:val="0C1E2D2D"/>
    <w:rsid w:val="0D3E3974"/>
    <w:rsid w:val="0D5F7C0C"/>
    <w:rsid w:val="0EB92D89"/>
    <w:rsid w:val="10BC5B5D"/>
    <w:rsid w:val="10BF393E"/>
    <w:rsid w:val="112D72E7"/>
    <w:rsid w:val="12DD5679"/>
    <w:rsid w:val="149633B3"/>
    <w:rsid w:val="14C14790"/>
    <w:rsid w:val="17166BB7"/>
    <w:rsid w:val="19370C22"/>
    <w:rsid w:val="19A2414E"/>
    <w:rsid w:val="1B50464C"/>
    <w:rsid w:val="1B592166"/>
    <w:rsid w:val="1CCE4466"/>
    <w:rsid w:val="1DE16A9C"/>
    <w:rsid w:val="1E5D3CF4"/>
    <w:rsid w:val="2036351D"/>
    <w:rsid w:val="21AB121A"/>
    <w:rsid w:val="24773635"/>
    <w:rsid w:val="25212EA4"/>
    <w:rsid w:val="2AC409D4"/>
    <w:rsid w:val="2B1167EC"/>
    <w:rsid w:val="2BAB28CF"/>
    <w:rsid w:val="2EBD19FE"/>
    <w:rsid w:val="309B756E"/>
    <w:rsid w:val="30F96FE4"/>
    <w:rsid w:val="319121DA"/>
    <w:rsid w:val="32DC1AA9"/>
    <w:rsid w:val="356824AE"/>
    <w:rsid w:val="35831240"/>
    <w:rsid w:val="36FE4E33"/>
    <w:rsid w:val="37415068"/>
    <w:rsid w:val="38073317"/>
    <w:rsid w:val="381F5A86"/>
    <w:rsid w:val="3989585D"/>
    <w:rsid w:val="39A9208B"/>
    <w:rsid w:val="3B5F12DD"/>
    <w:rsid w:val="3C1001A0"/>
    <w:rsid w:val="3C141E85"/>
    <w:rsid w:val="3F0E37CA"/>
    <w:rsid w:val="3F48163C"/>
    <w:rsid w:val="40C1324F"/>
    <w:rsid w:val="416F21A2"/>
    <w:rsid w:val="418C7B4C"/>
    <w:rsid w:val="42F71016"/>
    <w:rsid w:val="43F502ED"/>
    <w:rsid w:val="44EF4B92"/>
    <w:rsid w:val="452964E4"/>
    <w:rsid w:val="45A25D72"/>
    <w:rsid w:val="47002253"/>
    <w:rsid w:val="48E37528"/>
    <w:rsid w:val="4AAB17C9"/>
    <w:rsid w:val="4AFB32FD"/>
    <w:rsid w:val="4B060DE4"/>
    <w:rsid w:val="4BA8289A"/>
    <w:rsid w:val="4DA35DAA"/>
    <w:rsid w:val="4E324304"/>
    <w:rsid w:val="4E8F1391"/>
    <w:rsid w:val="4E960E10"/>
    <w:rsid w:val="4F912AF7"/>
    <w:rsid w:val="4FC25E01"/>
    <w:rsid w:val="4FFC645A"/>
    <w:rsid w:val="504E676B"/>
    <w:rsid w:val="52D81261"/>
    <w:rsid w:val="53C30726"/>
    <w:rsid w:val="53FB68E3"/>
    <w:rsid w:val="54135FB0"/>
    <w:rsid w:val="54674340"/>
    <w:rsid w:val="5699159A"/>
    <w:rsid w:val="584A577E"/>
    <w:rsid w:val="59705FB7"/>
    <w:rsid w:val="59F24396"/>
    <w:rsid w:val="5A0D01D8"/>
    <w:rsid w:val="5A46358F"/>
    <w:rsid w:val="5B376630"/>
    <w:rsid w:val="5BAB74D2"/>
    <w:rsid w:val="5FBA3402"/>
    <w:rsid w:val="646842FC"/>
    <w:rsid w:val="647C797D"/>
    <w:rsid w:val="66183420"/>
    <w:rsid w:val="69DC2875"/>
    <w:rsid w:val="6A9B3F1B"/>
    <w:rsid w:val="6B814C60"/>
    <w:rsid w:val="6C752599"/>
    <w:rsid w:val="6D4E7712"/>
    <w:rsid w:val="6D5B386F"/>
    <w:rsid w:val="6E562B5F"/>
    <w:rsid w:val="6F205FBF"/>
    <w:rsid w:val="6FD64C10"/>
    <w:rsid w:val="71962296"/>
    <w:rsid w:val="72C37E1B"/>
    <w:rsid w:val="72F24693"/>
    <w:rsid w:val="73282E7D"/>
    <w:rsid w:val="73440DCB"/>
    <w:rsid w:val="736E5D42"/>
    <w:rsid w:val="74CD5625"/>
    <w:rsid w:val="74F95B2E"/>
    <w:rsid w:val="77035D31"/>
    <w:rsid w:val="78FE5776"/>
    <w:rsid w:val="79452192"/>
    <w:rsid w:val="796678F5"/>
    <w:rsid w:val="796D14E2"/>
    <w:rsid w:val="7AED2C21"/>
    <w:rsid w:val="7B4C7DFC"/>
    <w:rsid w:val="7B7A0BB6"/>
    <w:rsid w:val="7C064B9A"/>
    <w:rsid w:val="7FAE065B"/>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5"/>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7"/>
    <w:unhideWhenUsed/>
    <w:qFormat/>
    <w:uiPriority w:val="0"/>
    <w:pPr>
      <w:keepNext/>
      <w:keepLines/>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qFormat/>
    <w:uiPriority w:val="0"/>
    <w:pPr>
      <w:jc w:val="left"/>
    </w:pPr>
  </w:style>
  <w:style w:type="paragraph" w:styleId="13">
    <w:name w:val="Body Text"/>
    <w:basedOn w:val="1"/>
    <w:next w:val="1"/>
    <w:qFormat/>
    <w:uiPriority w:val="0"/>
    <w:rPr>
      <w:rFonts w:ascii="楷体_GB2312" w:hAnsi="Arial" w:eastAsia="楷体_GB2312"/>
      <w:sz w:val="28"/>
      <w:szCs w:val="28"/>
    </w:rPr>
  </w:style>
  <w:style w:type="paragraph" w:styleId="14">
    <w:name w:val="Body Text Indent"/>
    <w:basedOn w:val="1"/>
    <w:next w:val="15"/>
    <w:link w:val="31"/>
    <w:qFormat/>
    <w:uiPriority w:val="0"/>
    <w:pPr>
      <w:ind w:firstLine="795"/>
    </w:pPr>
    <w:rPr>
      <w:sz w:val="32"/>
      <w:szCs w:val="32"/>
    </w:rPr>
  </w:style>
  <w:style w:type="paragraph" w:styleId="15">
    <w:name w:val="envelope return"/>
    <w:basedOn w:val="1"/>
    <w:qFormat/>
    <w:uiPriority w:val="0"/>
    <w:pPr>
      <w:snapToGrid w:val="0"/>
    </w:pPr>
    <w:rPr>
      <w:rFonts w:ascii="Arial" w:hAnsi="Arial"/>
    </w:rPr>
  </w:style>
  <w:style w:type="paragraph" w:styleId="16">
    <w:name w:val="Date"/>
    <w:basedOn w:val="1"/>
    <w:next w:val="1"/>
    <w:qFormat/>
    <w:uiPriority w:val="0"/>
  </w:style>
  <w:style w:type="paragraph" w:styleId="17">
    <w:name w:val="Balloon Text"/>
    <w:basedOn w:val="1"/>
    <w:link w:val="34"/>
    <w:qFormat/>
    <w:uiPriority w:val="0"/>
    <w:rPr>
      <w:sz w:val="18"/>
      <w:szCs w:val="18"/>
    </w:rPr>
  </w:style>
  <w:style w:type="paragraph" w:styleId="18">
    <w:name w:val="Body Text Indent 3"/>
    <w:basedOn w:val="1"/>
    <w:next w:val="11"/>
    <w:qFormat/>
    <w:uiPriority w:val="0"/>
    <w:pPr>
      <w:spacing w:line="360" w:lineRule="auto"/>
      <w:ind w:firstLine="617" w:firstLineChars="257"/>
    </w:pPr>
  </w:style>
  <w:style w:type="paragraph" w:styleId="19">
    <w:name w:val="Normal (Web)"/>
    <w:basedOn w:val="1"/>
    <w:qFormat/>
    <w:uiPriority w:val="0"/>
    <w:pPr>
      <w:spacing w:before="100" w:beforeAutospacing="1" w:after="100" w:afterAutospacing="1"/>
      <w:jc w:val="left"/>
    </w:pPr>
    <w:rPr>
      <w:rFonts w:ascii="宋体" w:hAnsi="宋体" w:cs="宋体"/>
    </w:rPr>
  </w:style>
  <w:style w:type="paragraph" w:styleId="20">
    <w:name w:val="Body Text First Indent 2"/>
    <w:basedOn w:val="14"/>
    <w:next w:val="18"/>
    <w:unhideWhenUsed/>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paragraph" w:styleId="25">
    <w:name w:val="List Paragraph"/>
    <w:basedOn w:val="1"/>
    <w:qFormat/>
    <w:uiPriority w:val="34"/>
    <w:pPr>
      <w:ind w:firstLine="420"/>
    </w:pPr>
    <w:rPr>
      <w:rFonts w:ascii="Calibri" w:hAnsi="Calibri"/>
    </w:rPr>
  </w:style>
  <w:style w:type="paragraph" w:customStyle="1" w:styleId="26">
    <w:name w:val="正文（缩进）"/>
    <w:basedOn w:val="1"/>
    <w:qFormat/>
    <w:uiPriority w:val="0"/>
    <w:pPr>
      <w:ind w:firstLine="480" w:firstLineChars="200"/>
    </w:pPr>
  </w:style>
  <w:style w:type="character" w:customStyle="1" w:styleId="27">
    <w:name w:val="标题 4 字符"/>
    <w:link w:val="5"/>
    <w:qFormat/>
    <w:uiPriority w:val="0"/>
    <w:rPr>
      <w:rFonts w:ascii="Arial" w:hAnsi="Arial" w:eastAsia="微软雅黑"/>
      <w:sz w:val="24"/>
    </w:rPr>
  </w:style>
  <w:style w:type="paragraph" w:customStyle="1" w:styleId="28">
    <w:name w:val="Body text|2"/>
    <w:basedOn w:val="1"/>
    <w:qFormat/>
    <w:uiPriority w:val="0"/>
    <w:pPr>
      <w:jc w:val="center"/>
    </w:pPr>
    <w:rPr>
      <w:rFonts w:ascii="宋体" w:hAnsi="宋体" w:cs="宋体"/>
      <w:sz w:val="26"/>
      <w:szCs w:val="26"/>
      <w:lang w:val="zh-TW" w:eastAsia="zh-TW" w:bidi="zh-TW"/>
    </w:rPr>
  </w:style>
  <w:style w:type="paragraph" w:customStyle="1" w:styleId="29">
    <w:name w:val="Other|1"/>
    <w:basedOn w:val="1"/>
    <w:qFormat/>
    <w:uiPriority w:val="0"/>
    <w:rPr>
      <w:rFonts w:ascii="宋体" w:hAnsi="宋体" w:cs="宋体"/>
      <w:sz w:val="15"/>
      <w:szCs w:val="15"/>
      <w:lang w:val="zh-TW" w:eastAsia="zh-TW" w:bidi="zh-TW"/>
    </w:rPr>
  </w:style>
  <w:style w:type="paragraph" w:customStyle="1" w:styleId="30">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1">
    <w:name w:val="正文文本缩进 字符"/>
    <w:link w:val="14"/>
    <w:qFormat/>
    <w:uiPriority w:val="0"/>
    <w:rPr>
      <w:color w:val="auto"/>
      <w:sz w:val="32"/>
      <w:szCs w:val="32"/>
    </w:rPr>
  </w:style>
  <w:style w:type="character" w:customStyle="1" w:styleId="32">
    <w:name w:val="font11"/>
    <w:basedOn w:val="23"/>
    <w:qFormat/>
    <w:uiPriority w:val="0"/>
    <w:rPr>
      <w:rFonts w:hint="eastAsia" w:ascii="宋体" w:hAnsi="宋体" w:eastAsia="宋体" w:cs="宋体"/>
      <w:color w:val="000000"/>
      <w:sz w:val="20"/>
      <w:szCs w:val="20"/>
      <w:u w:val="none"/>
    </w:rPr>
  </w:style>
  <w:style w:type="character" w:customStyle="1" w:styleId="33">
    <w:name w:val="font01"/>
    <w:basedOn w:val="23"/>
    <w:qFormat/>
    <w:uiPriority w:val="0"/>
    <w:rPr>
      <w:rFonts w:hint="default" w:ascii="Arial" w:hAnsi="Arial" w:cs="Arial"/>
      <w:color w:val="000000"/>
      <w:sz w:val="20"/>
      <w:szCs w:val="20"/>
      <w:u w:val="none"/>
    </w:rPr>
  </w:style>
  <w:style w:type="character" w:customStyle="1" w:styleId="34">
    <w:name w:val="批注框文本 字符"/>
    <w:basedOn w:val="23"/>
    <w:link w:val="17"/>
    <w:qFormat/>
    <w:uiPriority w:val="0"/>
    <w:rPr>
      <w:rFonts w:asciiTheme="minorHAnsi" w:hAnsiTheme="minorHAnsi" w:cstheme="minorBidi"/>
      <w:kern w:val="2"/>
      <w:sz w:val="18"/>
      <w:szCs w:val="18"/>
    </w:rPr>
  </w:style>
  <w:style w:type="character" w:customStyle="1" w:styleId="35">
    <w:name w:val="标题 2 字符"/>
    <w:link w:val="3"/>
    <w:qFormat/>
    <w:uiPriority w:val="0"/>
    <w:rPr>
      <w:rFonts w:ascii="Arial" w:hAnsi="Arial" w:eastAsia="黑体"/>
      <w:b/>
      <w:sz w:val="32"/>
    </w:rPr>
  </w:style>
  <w:style w:type="paragraph" w:customStyle="1" w:styleId="36">
    <w:name w:val="样式 标题 2标题 1.1编号标题2 + 段前: 1 行 段后: 1 行"/>
    <w:basedOn w:val="3"/>
    <w:qFormat/>
    <w:uiPriority w:val="0"/>
    <w:pPr>
      <w:keepNext w:val="0"/>
      <w:keepLines w:val="0"/>
      <w:spacing w:beforeLines="100" w:afterLines="100" w:line="360" w:lineRule="auto"/>
    </w:pPr>
    <w:rPr>
      <w:rFonts w:ascii="Times New Roman" w:hAnsi="Times New Roman" w:eastAsia="宋体"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5771</Words>
  <Characters>6071</Characters>
  <Lines>71</Lines>
  <Paragraphs>20</Paragraphs>
  <TotalTime>2</TotalTime>
  <ScaleCrop>false</ScaleCrop>
  <LinksUpToDate>false</LinksUpToDate>
  <CharactersWithSpaces>6440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2025-02-24T09:00:00Z</cp:lastPrinted>
  <dcterms:modified xsi:type="dcterms:W3CDTF">2025-03-07T00:22:23Z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E74AA511F1DD48429C79289A39D0CE58_13</vt:lpwstr>
  </property>
  <property fmtid="{D5CDD505-2E9C-101B-9397-08002B2CF9AE}" pid="4" name="KSOTemplateDocerSaveRecord">
    <vt:lpwstr>eyJoZGlkIjoiZDIyMGUwZmNhZjA3YTYxZWYwMzVmM2Q1ZWU5ODAxOWEiLCJ1c2VySWQiOiIxOTc4MTAxNjQifQ==</vt:lpwstr>
  </property>
</Properties>
</file>