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A9FF0">
      <w:pPr>
        <w:numPr>
          <w:ilvl w:val="0"/>
          <w:numId w:val="0"/>
        </w:numPr>
        <w:ind w:firstLine="1401" w:firstLineChars="500"/>
        <w:rPr>
          <w:rFonts w:hint="eastAsia" w:ascii="微软雅黑" w:hAnsi="微软雅黑" w:eastAsia="微软雅黑" w:cs="微软雅黑"/>
          <w:b/>
          <w:bCs/>
          <w:lang w:val="en-US" w:eastAsia="zh-CN"/>
        </w:rPr>
      </w:pPr>
      <w:r>
        <w:rPr>
          <w:rFonts w:hint="eastAsia" w:ascii="微软雅黑" w:hAnsi="微软雅黑" w:eastAsia="微软雅黑" w:cs="微软雅黑"/>
          <w:b/>
          <w:bCs/>
          <w:sz w:val="28"/>
          <w:szCs w:val="28"/>
          <w:lang w:val="en-US" w:eastAsia="zh-CN"/>
        </w:rPr>
        <w:t>丹阳市人民医院堡垒机系统采购项目比选文件</w:t>
      </w:r>
    </w:p>
    <w:p w14:paraId="152FAF26">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项目基本情况</w:t>
      </w:r>
    </w:p>
    <w:p w14:paraId="387AF0E4">
      <w:pPr>
        <w:rPr>
          <w:rFonts w:hint="eastAsia" w:ascii="华文细黑" w:hAnsi="华文细黑" w:eastAsia="华文细黑" w:cs="华文细黑"/>
          <w:szCs w:val="21"/>
          <w:lang w:eastAsia="zh-CN"/>
        </w:rPr>
      </w:pPr>
      <w:r>
        <w:rPr>
          <w:rFonts w:hint="eastAsia" w:ascii="华文细黑" w:hAnsi="华文细黑" w:eastAsia="华文细黑" w:cs="华文细黑"/>
          <w:szCs w:val="21"/>
        </w:rPr>
        <w:t>1</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名称：堡垒机系统</w:t>
      </w:r>
      <w:r>
        <w:rPr>
          <w:rFonts w:hint="eastAsia" w:ascii="华文细黑" w:hAnsi="华文细黑" w:eastAsia="华文细黑" w:cs="华文细黑"/>
          <w:szCs w:val="21"/>
          <w:lang w:val="en-US" w:eastAsia="zh-CN"/>
        </w:rPr>
        <w:t>采购</w:t>
      </w:r>
      <w:r>
        <w:rPr>
          <w:rFonts w:hint="eastAsia" w:ascii="华文细黑" w:hAnsi="华文细黑" w:eastAsia="华文细黑" w:cs="华文细黑"/>
          <w:szCs w:val="21"/>
          <w:lang w:eastAsia="zh-CN"/>
        </w:rPr>
        <w:t>；</w:t>
      </w:r>
    </w:p>
    <w:p w14:paraId="0A15C89E">
      <w:pPr>
        <w:numPr>
          <w:ilvl w:val="0"/>
          <w:numId w:val="0"/>
        </w:numPr>
        <w:rPr>
          <w:rFonts w:hint="eastAsia" w:ascii="华文细黑" w:hAnsi="华文细黑" w:eastAsia="华文细黑" w:cs="华文细黑"/>
          <w:szCs w:val="21"/>
          <w:highlight w:val="yellow"/>
          <w:lang w:eastAsia="zh-CN"/>
        </w:rPr>
      </w:pP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rPr>
        <w:t>预算：</w:t>
      </w:r>
      <w:r>
        <w:rPr>
          <w:rFonts w:hint="eastAsia" w:ascii="华文细黑" w:hAnsi="华文细黑" w:eastAsia="华文细黑" w:cs="华文细黑"/>
          <w:szCs w:val="21"/>
          <w:lang w:val="en-US" w:eastAsia="zh-CN"/>
        </w:rPr>
        <w:t>17.5</w:t>
      </w:r>
      <w:r>
        <w:rPr>
          <w:rFonts w:hint="eastAsia" w:ascii="华文细黑" w:hAnsi="华文细黑" w:eastAsia="华文细黑" w:cs="华文细黑"/>
          <w:szCs w:val="21"/>
          <w:highlight w:val="none"/>
          <w:lang w:val="en-US" w:eastAsia="zh-CN"/>
        </w:rPr>
        <w:t>万</w:t>
      </w:r>
      <w:r>
        <w:rPr>
          <w:rFonts w:hint="eastAsia" w:ascii="华文细黑" w:hAnsi="华文细黑" w:eastAsia="华文细黑" w:cs="华文细黑"/>
          <w:szCs w:val="21"/>
          <w:highlight w:val="none"/>
        </w:rPr>
        <w:t>元</w:t>
      </w:r>
      <w:r>
        <w:rPr>
          <w:rFonts w:hint="eastAsia" w:ascii="华文细黑" w:hAnsi="华文细黑" w:eastAsia="华文细黑" w:cs="华文细黑"/>
          <w:szCs w:val="21"/>
          <w:highlight w:val="none"/>
          <w:lang w:eastAsia="zh-CN"/>
        </w:rPr>
        <w:t>；</w:t>
      </w:r>
    </w:p>
    <w:p w14:paraId="5E48E8D8">
      <w:pPr>
        <w:numPr>
          <w:ilvl w:val="0"/>
          <w:numId w:val="0"/>
        </w:numPr>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rPr>
        <w:t>项目内部编号：DRY-CG-2025</w:t>
      </w:r>
      <w:r>
        <w:rPr>
          <w:rFonts w:hint="eastAsia" w:ascii="华文细黑" w:hAnsi="华文细黑" w:eastAsia="华文细黑" w:cs="华文细黑"/>
          <w:szCs w:val="21"/>
          <w:lang w:val="en-US" w:eastAsia="zh-CN"/>
        </w:rPr>
        <w:t>014；</w:t>
      </w:r>
    </w:p>
    <w:p w14:paraId="4844D460">
      <w:pPr>
        <w:numPr>
          <w:ilvl w:val="0"/>
          <w:numId w:val="0"/>
        </w:numPr>
        <w:ind w:leftChars="0"/>
        <w:rPr>
          <w:rFonts w:hint="eastAsia" w:ascii="华文细黑" w:hAnsi="华文细黑" w:eastAsia="华文细黑" w:cs="华文细黑"/>
          <w:szCs w:val="21"/>
          <w:highlight w:val="none"/>
        </w:rPr>
      </w:pPr>
      <w:r>
        <w:rPr>
          <w:rFonts w:hint="eastAsia" w:ascii="华文细黑" w:hAnsi="华文细黑" w:eastAsia="华文细黑" w:cs="华文细黑"/>
          <w:szCs w:val="21"/>
          <w:lang w:val="en-US" w:eastAsia="zh-CN"/>
        </w:rPr>
        <w:t>4.</w:t>
      </w:r>
      <w:r>
        <w:rPr>
          <w:rFonts w:hint="eastAsia" w:ascii="华文细黑" w:hAnsi="华文细黑" w:eastAsia="华文细黑" w:cs="华文细黑"/>
          <w:szCs w:val="21"/>
        </w:rPr>
        <w:t>采购方式：</w:t>
      </w:r>
      <w:r>
        <w:rPr>
          <w:rFonts w:hint="eastAsia" w:ascii="华文细黑" w:hAnsi="华文细黑" w:eastAsia="华文细黑" w:cs="华文细黑"/>
          <w:szCs w:val="21"/>
          <w:highlight w:val="none"/>
          <w:lang w:val="en-US" w:eastAsia="zh-CN"/>
        </w:rPr>
        <w:t>公开比选；</w:t>
      </w:r>
    </w:p>
    <w:p w14:paraId="23AA636B">
      <w:pPr>
        <w:numPr>
          <w:ilvl w:val="0"/>
          <w:numId w:val="0"/>
        </w:numPr>
        <w:ind w:leftChars="0"/>
        <w:rPr>
          <w:rFonts w:hint="eastAsia" w:ascii="华文细黑" w:hAnsi="华文细黑" w:eastAsia="华文细黑" w:cs="华文细黑"/>
          <w:szCs w:val="21"/>
          <w:highlight w:val="none"/>
          <w:lang w:eastAsia="zh-CN"/>
        </w:rPr>
      </w:pPr>
      <w:r>
        <w:rPr>
          <w:rFonts w:hint="eastAsia" w:ascii="华文细黑" w:hAnsi="华文细黑" w:eastAsia="华文细黑" w:cs="华文细黑"/>
          <w:szCs w:val="21"/>
          <w:highlight w:val="none"/>
          <w:lang w:val="en-US" w:eastAsia="zh-CN"/>
        </w:rPr>
        <w:t>5.</w:t>
      </w:r>
      <w:r>
        <w:rPr>
          <w:rFonts w:hint="eastAsia" w:ascii="华文细黑" w:hAnsi="华文细黑" w:eastAsia="华文细黑" w:cs="华文细黑"/>
          <w:szCs w:val="21"/>
          <w:highlight w:val="none"/>
        </w:rPr>
        <w:t>评审方法：综合评分法</w:t>
      </w:r>
      <w:r>
        <w:rPr>
          <w:rFonts w:hint="eastAsia" w:ascii="华文细黑" w:hAnsi="华文细黑" w:eastAsia="华文细黑" w:cs="华文细黑"/>
          <w:szCs w:val="21"/>
          <w:highlight w:val="none"/>
          <w:lang w:eastAsia="zh-CN"/>
        </w:rPr>
        <w:t>；</w:t>
      </w:r>
    </w:p>
    <w:p w14:paraId="3975E540">
      <w:pPr>
        <w:numPr>
          <w:ilvl w:val="0"/>
          <w:numId w:val="0"/>
        </w:numPr>
        <w:ind w:leftChars="0"/>
        <w:rPr>
          <w:rFonts w:hint="eastAsia" w:ascii="华文细黑" w:hAnsi="华文细黑" w:eastAsia="华文细黑" w:cs="华文细黑"/>
          <w:szCs w:val="21"/>
          <w:lang w:val="en-US" w:eastAsia="zh-CN"/>
        </w:rPr>
      </w:pPr>
      <w:r>
        <w:rPr>
          <w:rFonts w:hint="eastAsia" w:ascii="华文细黑" w:hAnsi="华文细黑" w:eastAsia="华文细黑" w:cs="华文细黑"/>
          <w:sz w:val="21"/>
          <w:szCs w:val="21"/>
          <w:lang w:val="en-US" w:eastAsia="zh-CN"/>
        </w:rPr>
        <w:t>6.</w:t>
      </w:r>
      <w:r>
        <w:rPr>
          <w:rFonts w:hint="eastAsia" w:ascii="华文细黑" w:hAnsi="华文细黑" w:eastAsia="华文细黑" w:cs="华文细黑"/>
          <w:sz w:val="21"/>
          <w:szCs w:val="21"/>
        </w:rPr>
        <w:t>本</w:t>
      </w:r>
      <w:r>
        <w:rPr>
          <w:rFonts w:hint="eastAsia" w:ascii="华文细黑" w:hAnsi="华文细黑" w:eastAsia="华文细黑" w:cs="华文细黑"/>
          <w:sz w:val="21"/>
          <w:szCs w:val="21"/>
          <w:lang w:val="en-US" w:eastAsia="zh-CN"/>
        </w:rPr>
        <w:t>项目</w:t>
      </w:r>
      <w:r>
        <w:rPr>
          <w:rFonts w:hint="eastAsia" w:ascii="华文细黑" w:hAnsi="华文细黑" w:eastAsia="华文细黑" w:cs="华文细黑"/>
          <w:sz w:val="21"/>
          <w:szCs w:val="21"/>
        </w:rPr>
        <w:t>不得转包</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不接受联合体投标；</w:t>
      </w:r>
    </w:p>
    <w:p w14:paraId="764187A0">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rPr>
          <w:rFonts w:hint="eastAsia" w:ascii="华文细黑" w:hAnsi="华文细黑" w:eastAsia="华文细黑" w:cs="华文细黑"/>
          <w:szCs w:val="21"/>
          <w:lang w:val="en-US" w:eastAsia="zh-CN"/>
        </w:rPr>
      </w:pPr>
      <w:r>
        <w:rPr>
          <w:rFonts w:hint="eastAsia" w:ascii="华文细黑" w:hAnsi="华文细黑" w:eastAsia="华文细黑" w:cs="华文细黑"/>
          <w:color w:val="auto"/>
          <w:lang w:val="en-US" w:eastAsia="zh-CN"/>
        </w:rPr>
        <w:t>7.本次采购确定的成交供应商数量：1 名。</w:t>
      </w:r>
    </w:p>
    <w:p w14:paraId="044C4D40">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 xml:space="preserve">资质要求 </w:t>
      </w:r>
    </w:p>
    <w:p w14:paraId="7D43F690">
      <w:pPr>
        <w:rPr>
          <w:rFonts w:hint="eastAsia" w:ascii="华文细黑" w:hAnsi="华文细黑" w:eastAsia="华文细黑" w:cs="华文细黑"/>
        </w:rPr>
      </w:pPr>
      <w:r>
        <w:rPr>
          <w:rFonts w:hint="eastAsia" w:ascii="华文细黑" w:hAnsi="华文细黑" w:eastAsia="华文细黑" w:cs="华文细黑"/>
        </w:rPr>
        <w:t>1.投标人应具备《中华人民共和国政府采购法》第二十二条规定的条件，提供下列材料：</w:t>
      </w:r>
    </w:p>
    <w:p w14:paraId="10E7C5E1">
      <w:pPr>
        <w:rPr>
          <w:rFonts w:hint="eastAsia" w:ascii="华文细黑" w:hAnsi="华文细黑" w:eastAsia="华文细黑" w:cs="华文细黑"/>
        </w:rPr>
      </w:pPr>
      <w:r>
        <w:rPr>
          <w:rFonts w:hint="eastAsia" w:ascii="华文细黑" w:hAnsi="华文细黑" w:eastAsia="华文细黑" w:cs="华文细黑"/>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1DA2F50">
      <w:pPr>
        <w:rPr>
          <w:rFonts w:hint="eastAsia" w:ascii="华文细黑" w:hAnsi="华文细黑" w:eastAsia="华文细黑" w:cs="华文细黑"/>
        </w:rPr>
      </w:pPr>
      <w:r>
        <w:rPr>
          <w:rFonts w:hint="eastAsia" w:ascii="华文细黑" w:hAnsi="华文细黑" w:eastAsia="华文细黑" w:cs="华文细黑"/>
        </w:rPr>
        <w:t>1.2有依法缴纳税收和社会保障资金的良好记录（提供资格承诺函）；</w:t>
      </w:r>
    </w:p>
    <w:p w14:paraId="5F9085F7">
      <w:pPr>
        <w:rPr>
          <w:rFonts w:hint="eastAsia" w:ascii="华文细黑" w:hAnsi="华文细黑" w:eastAsia="华文细黑" w:cs="华文细黑"/>
        </w:rPr>
      </w:pPr>
      <w:r>
        <w:rPr>
          <w:rFonts w:hint="eastAsia" w:ascii="华文细黑" w:hAnsi="华文细黑" w:eastAsia="华文细黑" w:cs="华文细黑"/>
        </w:rPr>
        <w:t>1.3具有良好的商业信誉和健全的财务会计制度（提供资格承诺函）；</w:t>
      </w:r>
    </w:p>
    <w:p w14:paraId="2BFB503C">
      <w:pPr>
        <w:rPr>
          <w:rFonts w:hint="eastAsia" w:ascii="华文细黑" w:hAnsi="华文细黑" w:eastAsia="华文细黑" w:cs="华文细黑"/>
        </w:rPr>
      </w:pPr>
      <w:r>
        <w:rPr>
          <w:rFonts w:hint="eastAsia" w:ascii="华文细黑" w:hAnsi="华文细黑" w:eastAsia="华文细黑" w:cs="华文细黑"/>
        </w:rPr>
        <w:t>1.4履行合同所必需的设备和专业技术能力（提供资格承诺函）；</w:t>
      </w:r>
    </w:p>
    <w:p w14:paraId="04A2819E">
      <w:pPr>
        <w:rPr>
          <w:rFonts w:hint="eastAsia" w:ascii="华文细黑" w:hAnsi="华文细黑" w:eastAsia="华文细黑" w:cs="华文细黑"/>
        </w:rPr>
      </w:pPr>
      <w:r>
        <w:rPr>
          <w:rFonts w:hint="eastAsia" w:ascii="华文细黑" w:hAnsi="华文细黑" w:eastAsia="华文细黑" w:cs="华文细黑"/>
        </w:rPr>
        <w:t>1.5参加本项目采购活动前三年内，在经营活动中没有重大违法记录（提供资格承诺函）；</w:t>
      </w:r>
    </w:p>
    <w:p w14:paraId="5744F32F">
      <w:pPr>
        <w:rPr>
          <w:rFonts w:hint="eastAsia" w:ascii="华文细黑" w:hAnsi="华文细黑" w:eastAsia="华文细黑" w:cs="华文细黑"/>
        </w:rPr>
      </w:pPr>
      <w:r>
        <w:rPr>
          <w:rFonts w:hint="eastAsia" w:ascii="华文细黑" w:hAnsi="华文细黑" w:eastAsia="华文细黑" w:cs="华文细黑"/>
        </w:rPr>
        <w:t>1.6</w:t>
      </w:r>
      <w:r>
        <w:rPr>
          <w:rFonts w:hint="eastAsia" w:ascii="华文细黑" w:hAnsi="华文细黑" w:eastAsia="华文细黑" w:cs="华文细黑"/>
          <w:szCs w:val="28"/>
          <w:highlight w:val="white"/>
        </w:rPr>
        <w:t>法律、行政法规规定的其他条件。</w:t>
      </w:r>
    </w:p>
    <w:p w14:paraId="4836A761">
      <w:pPr>
        <w:rPr>
          <w:rFonts w:hint="eastAsia" w:ascii="华文细黑" w:hAnsi="华文细黑" w:eastAsia="华文细黑" w:cs="华文细黑"/>
          <w:szCs w:val="28"/>
          <w:highlight w:val="white"/>
        </w:rPr>
      </w:pPr>
      <w:r>
        <w:rPr>
          <w:rFonts w:hint="eastAsia" w:ascii="华文细黑" w:hAnsi="华文细黑" w:eastAsia="华文细黑" w:cs="华文细黑"/>
        </w:rPr>
        <w:t>1.7</w:t>
      </w:r>
      <w:r>
        <w:rPr>
          <w:rFonts w:hint="eastAsia" w:ascii="华文细黑" w:hAnsi="华文细黑" w:eastAsia="华文细黑" w:cs="华文细黑"/>
          <w:szCs w:val="28"/>
          <w:highlight w:val="white"/>
        </w:rPr>
        <w:t>本项目专门面向中小微企业采购，供应商应为中小微企（提供中小微企业申明函）；</w:t>
      </w:r>
    </w:p>
    <w:p w14:paraId="5240F57A">
      <w:pPr>
        <w:numPr>
          <w:ilvl w:val="0"/>
          <w:numId w:val="0"/>
        </w:numP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highlight w:val="none"/>
          <w:lang w:val="en-US" w:eastAsia="zh-CN"/>
        </w:rPr>
        <w:t>1.8本项目特殊资质要求（无）</w:t>
      </w:r>
    </w:p>
    <w:p w14:paraId="356906A8">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项目需求及技术参数（见下表）</w:t>
      </w:r>
    </w:p>
    <w:p w14:paraId="457F952B">
      <w:pPr>
        <w:ind w:firstLine="420" w:firstLineChars="200"/>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i w:val="0"/>
          <w:iCs w:val="0"/>
          <w:caps w:val="0"/>
          <w:color w:val="000000"/>
          <w:spacing w:val="0"/>
          <w:sz w:val="21"/>
          <w:szCs w:val="21"/>
        </w:rPr>
        <w:t>随着丹阳市人民医院信息化</w:t>
      </w:r>
      <w:r>
        <w:rPr>
          <w:rFonts w:hint="eastAsia" w:ascii="华文细黑" w:hAnsi="华文细黑" w:eastAsia="华文细黑" w:cs="华文细黑"/>
          <w:i w:val="0"/>
          <w:iCs w:val="0"/>
          <w:caps w:val="0"/>
          <w:color w:val="000000"/>
          <w:spacing w:val="0"/>
          <w:sz w:val="21"/>
          <w:szCs w:val="21"/>
          <w:lang w:val="en-US" w:eastAsia="zh-CN"/>
        </w:rPr>
        <w:t>建设</w:t>
      </w:r>
      <w:r>
        <w:rPr>
          <w:rFonts w:hint="eastAsia" w:ascii="华文细黑" w:hAnsi="华文细黑" w:eastAsia="华文细黑" w:cs="华文细黑"/>
          <w:i w:val="0"/>
          <w:iCs w:val="0"/>
          <w:caps w:val="0"/>
          <w:color w:val="000000"/>
          <w:spacing w:val="0"/>
          <w:sz w:val="21"/>
          <w:szCs w:val="21"/>
        </w:rPr>
        <w:t>的不断发展，</w:t>
      </w:r>
      <w:r>
        <w:rPr>
          <w:rFonts w:hint="eastAsia" w:ascii="华文细黑" w:hAnsi="华文细黑" w:eastAsia="华文细黑" w:cs="华文细黑"/>
          <w:i w:val="0"/>
          <w:iCs w:val="0"/>
          <w:caps w:val="0"/>
          <w:color w:val="000000"/>
          <w:spacing w:val="0"/>
          <w:sz w:val="21"/>
          <w:szCs w:val="21"/>
          <w:lang w:val="en-US" w:eastAsia="zh-CN"/>
        </w:rPr>
        <w:t>服务器、网络设备、安全设备、数据库等设备的数量不断增加，原有堡垒机使用年限</w:t>
      </w:r>
      <w:r>
        <w:rPr>
          <w:rFonts w:hint="eastAsia" w:ascii="华文细黑" w:hAnsi="华文细黑" w:eastAsia="华文细黑" w:cs="华文细黑"/>
          <w:i w:val="0"/>
          <w:iCs w:val="0"/>
          <w:caps w:val="0"/>
          <w:color w:val="000000"/>
          <w:spacing w:val="0"/>
          <w:sz w:val="21"/>
          <w:szCs w:val="21"/>
          <w:highlight w:val="none"/>
          <w:lang w:val="en-US" w:eastAsia="zh-CN"/>
        </w:rPr>
        <w:t>已</w:t>
      </w:r>
      <w:r>
        <w:rPr>
          <w:rFonts w:hint="eastAsia" w:ascii="华文细黑" w:hAnsi="华文细黑" w:eastAsia="华文细黑" w:cs="华文细黑"/>
          <w:i w:val="0"/>
          <w:iCs w:val="0"/>
          <w:caps w:val="0"/>
          <w:color w:val="000000"/>
          <w:spacing w:val="0"/>
          <w:sz w:val="21"/>
          <w:szCs w:val="21"/>
          <w:lang w:val="en-US" w:eastAsia="zh-CN"/>
        </w:rPr>
        <w:t>较长，存在宕机风险，现需在内网运维区采购一套堡垒机系统用以规范院方和第三方厂家工程师的线上运维工作，实现对运维人员的权限管控以及审计管理，从而有效防范内部人员、外部运维人员的非法操作，提高医院信息系统的安全性和稳定性。同时原内网堡垒机需要迁移到外网使用，将内外网的运维进行隔离，控制访问权限，降低外部攻击以及数据泄露的风险。</w:t>
      </w:r>
    </w:p>
    <w:tbl>
      <w:tblPr>
        <w:tblStyle w:val="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626"/>
        <w:gridCol w:w="7391"/>
      </w:tblGrid>
      <w:tr w14:paraId="701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96" w:hRule="atLeast"/>
          <w:jc w:val="center"/>
        </w:trPr>
        <w:tc>
          <w:tcPr>
            <w:tcW w:w="16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C13275">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Cs w:val="21"/>
                <w14:textFill>
                  <w14:solidFill>
                    <w14:schemeClr w14:val="tx1"/>
                  </w14:solidFill>
                </w14:textFill>
              </w:rPr>
              <w:t>规格要求</w:t>
            </w:r>
          </w:p>
        </w:tc>
        <w:tc>
          <w:tcPr>
            <w:tcW w:w="7391" w:type="dxa"/>
            <w:tcBorders>
              <w:left w:val="single" w:color="auto" w:sz="4" w:space="0"/>
            </w:tcBorders>
            <w:shd w:val="clear" w:color="auto" w:fill="FFFFFF" w:themeFill="background1"/>
            <w:vAlign w:val="center"/>
          </w:tcPr>
          <w:p w14:paraId="0E7EE0A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支持部署在</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国产</w:t>
            </w:r>
            <w:r>
              <w:rPr>
                <w:rFonts w:hint="eastAsia" w:ascii="华文细黑" w:hAnsi="华文细黑" w:eastAsia="华文细黑" w:cs="华文细黑"/>
                <w:color w:val="000000" w:themeColor="text1"/>
                <w:sz w:val="20"/>
                <w:szCs w:val="20"/>
                <w14:textFill>
                  <w14:solidFill>
                    <w14:schemeClr w14:val="tx1"/>
                  </w14:solidFill>
                </w14:textFill>
              </w:rPr>
              <w:t>虚拟化平台，</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支持适配国产化操作系统，</w:t>
            </w:r>
            <w:r>
              <w:rPr>
                <w:rFonts w:hint="eastAsia" w:ascii="华文细黑" w:hAnsi="华文细黑" w:eastAsia="华文细黑" w:cs="华文细黑"/>
                <w:color w:val="000000" w:themeColor="text1"/>
                <w:sz w:val="20"/>
                <w:szCs w:val="20"/>
                <w14:textFill>
                  <w14:solidFill>
                    <w14:schemeClr w14:val="tx1"/>
                  </w14:solidFill>
                </w14:textFill>
              </w:rPr>
              <w:t>支持通过授权绑定IP的形式，来防止虚拟机漂移时授权失效。含双因素认证模块；支持应用发布模块,支持C/S客户端工具的操作审计；数据库审计模块,支持针对数据库管理员的数据库操作审计；</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提供不少于200个被管理资源授权数；</w:t>
            </w:r>
            <w:r>
              <w:rPr>
                <w:rFonts w:hint="eastAsia" w:ascii="华文细黑" w:hAnsi="华文细黑" w:eastAsia="华文细黑" w:cs="华文细黑"/>
                <w:color w:val="000000" w:themeColor="text1"/>
                <w:sz w:val="20"/>
                <w:szCs w:val="20"/>
                <w14:textFill>
                  <w14:solidFill>
                    <w14:schemeClr w14:val="tx1"/>
                  </w14:solidFill>
                </w14:textFill>
              </w:rPr>
              <w:t>要求非OEM产品，拥有自主知识产权，具有软件自主研发能力；三年原厂升级、维护、质保。</w:t>
            </w:r>
          </w:p>
        </w:tc>
      </w:tr>
      <w:tr w14:paraId="09AC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30BA1F76">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用户管理功能</w:t>
            </w:r>
          </w:p>
        </w:tc>
        <w:tc>
          <w:tcPr>
            <w:tcW w:w="7391" w:type="dxa"/>
            <w:tcBorders>
              <w:left w:val="single" w:color="auto" w:sz="4" w:space="0"/>
            </w:tcBorders>
            <w:shd w:val="clear" w:color="auto" w:fill="FFFFFF" w:themeFill="background1"/>
            <w:vAlign w:val="center"/>
          </w:tcPr>
          <w:p w14:paraId="6BAE5E3E">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默认支持超级管理员、配置管理员、审计管理员、自动化管理员及操作员等角色。</w:t>
            </w:r>
          </w:p>
        </w:tc>
      </w:tr>
      <w:tr w14:paraId="47A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6BE772F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90BBAA5">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根据工作实际需要，能够支持自定义用户角色名称，并且可以将超级管理员、配置管理员、审计管理员、自动化管理员及操作员角色具备的权限进行组合后赋予这个角色。</w:t>
            </w:r>
          </w:p>
        </w:tc>
      </w:tr>
      <w:tr w14:paraId="795E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3D7025F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783A57D">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kern w:val="0"/>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支持本地密码、AD/LDAP、RADIUS、动态令牌、手机令牌、USBKey、短信、X.509等认证方式，并且可以将两种认证方式自定义组合为全新的认证方式（如本地密码+手机令牌）。（提供配置截图，加盖公章）</w:t>
            </w:r>
          </w:p>
        </w:tc>
      </w:tr>
      <w:tr w14:paraId="3847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2CF0EAF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447A78B">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具有防暴力猜测功能，支持密码错误锁定、客户端锁定（基于同一客户端不同账号登录失败次数），可以设置锁定时长。</w:t>
            </w:r>
          </w:p>
        </w:tc>
      </w:tr>
      <w:tr w14:paraId="0538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1DF56A1">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资源管理功能</w:t>
            </w:r>
          </w:p>
        </w:tc>
        <w:tc>
          <w:tcPr>
            <w:tcW w:w="7391" w:type="dxa"/>
            <w:tcBorders>
              <w:left w:val="single" w:color="auto" w:sz="4" w:space="0"/>
            </w:tcBorders>
            <w:shd w:val="clear" w:color="auto" w:fill="FFFFFF" w:themeFill="background1"/>
            <w:vAlign w:val="center"/>
          </w:tcPr>
          <w:p w14:paraId="082BD5D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支持对windows、linux、unix、网络及安全设备、数据库以及各类B/S应用的管理。</w:t>
            </w:r>
          </w:p>
        </w:tc>
      </w:tr>
      <w:tr w14:paraId="1192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10B3572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01C1CAF">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支持将属于同一业务组或者HA类的设备设置为等价资产，通过等价账号在账号密码变更时能够直接同步。（提供配置截图，加盖公章）</w:t>
            </w:r>
          </w:p>
        </w:tc>
      </w:tr>
      <w:tr w14:paraId="5F27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65EA6B3">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7304DB5">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产品支持IPv6设置。</w:t>
            </w:r>
          </w:p>
        </w:tc>
      </w:tr>
      <w:tr w14:paraId="69C2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6F6DFD7B">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DF7D7C9">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支持管理IPv6资产。</w:t>
            </w:r>
          </w:p>
        </w:tc>
      </w:tr>
      <w:tr w14:paraId="300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463214B7">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访问</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管控功能</w:t>
            </w:r>
          </w:p>
        </w:tc>
        <w:tc>
          <w:tcPr>
            <w:tcW w:w="7391" w:type="dxa"/>
            <w:tcBorders>
              <w:left w:val="single" w:color="auto" w:sz="4" w:space="0"/>
            </w:tcBorders>
            <w:shd w:val="clear" w:color="auto" w:fill="FFFFFF" w:themeFill="background1"/>
            <w:vAlign w:val="center"/>
          </w:tcPr>
          <w:p w14:paraId="28A1194A">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支持以用户（用户组）、目标设备（设备组、程序）、系统账号、服务等维度灵活设置访问策略。</w:t>
            </w:r>
          </w:p>
        </w:tc>
      </w:tr>
      <w:tr w14:paraId="45DA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383A32D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382A0CD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★支持动态权限管控，管理员可基于用户、资产、协议和账号来创建弹性动态权限规则，只要满足相关属性的用户、资产、协议和账号即会被自动赋予对应访问权限。</w:t>
            </w:r>
            <w:r>
              <w:rPr>
                <w:rFonts w:hint="eastAsia" w:ascii="华文细黑" w:hAnsi="华文细黑" w:eastAsia="华文细黑" w:cs="华文细黑"/>
                <w:color w:val="000000" w:themeColor="text1"/>
                <w:sz w:val="20"/>
                <w:szCs w:val="20"/>
                <w14:textFill>
                  <w14:solidFill>
                    <w14:schemeClr w14:val="tx1"/>
                  </w14:solidFill>
                </w14:textFill>
              </w:rPr>
              <w:t xml:space="preserve">（提供配置截图，加盖公章） </w:t>
            </w:r>
          </w:p>
        </w:tc>
      </w:tr>
      <w:tr w14:paraId="3802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3121882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tcPr>
          <w:p w14:paraId="33BE66B1">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支持按用户展示可管理资产、按资产展示有权限访问的用户账号。</w:t>
            </w:r>
          </w:p>
        </w:tc>
      </w:tr>
      <w:tr w14:paraId="3AF3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5E6DBD73">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密码</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管理功能</w:t>
            </w:r>
          </w:p>
        </w:tc>
        <w:tc>
          <w:tcPr>
            <w:tcW w:w="7391" w:type="dxa"/>
            <w:tcBorders>
              <w:left w:val="single" w:color="auto" w:sz="4" w:space="0"/>
            </w:tcBorders>
            <w:shd w:val="clear" w:color="auto" w:fill="FFFFFF" w:themeFill="background1"/>
            <w:vAlign w:val="center"/>
          </w:tcPr>
          <w:p w14:paraId="483D4C3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支持以EXCEL方式批量导入资源系统账号及密码。</w:t>
            </w:r>
          </w:p>
        </w:tc>
      </w:tr>
      <w:tr w14:paraId="0617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626F7BE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9D69E77">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支持资源账号密码托管，实现资源单点登录功能。</w:t>
            </w:r>
          </w:p>
        </w:tc>
      </w:tr>
      <w:tr w14:paraId="752E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21E8605F">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AF05169">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支持系统账号密码触发式校验功能，对托管的口令进行验证。</w:t>
            </w:r>
          </w:p>
        </w:tc>
      </w:tr>
      <w:tr w14:paraId="406D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tcPr>
          <w:p w14:paraId="376CF22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1850E3C8">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支持自动改密功能，管理员可自定义密码策略、改密周期、密码备份方式。</w:t>
            </w:r>
          </w:p>
        </w:tc>
      </w:tr>
      <w:tr w14:paraId="7D3D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3D773E15">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59F2172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如需要临时使用被管理设备的密码，可以通过密码申请工单申请，填写需要使用密码的开始、结束时间，支持通过密码分段将密码分为2段分别发送给不同的管理员用户。（提供配置截图，加盖公章）</w:t>
            </w:r>
          </w:p>
        </w:tc>
      </w:tr>
      <w:tr w14:paraId="270A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19B8A377">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应用发布</w:t>
            </w:r>
            <w:r>
              <w:rPr>
                <w:rFonts w:hint="eastAsia" w:ascii="华文细黑" w:hAnsi="华文细黑" w:eastAsia="华文细黑" w:cs="华文细黑"/>
                <w:bCs/>
                <w:color w:val="000000" w:themeColor="text1"/>
                <w:sz w:val="20"/>
                <w:szCs w:val="20"/>
                <w:lang w:val="en-US" w:eastAsia="zh-CN"/>
                <w14:textFill>
                  <w14:solidFill>
                    <w14:schemeClr w14:val="tx1"/>
                  </w14:solidFill>
                </w14:textFill>
              </w:rPr>
              <w:t>功能</w:t>
            </w:r>
          </w:p>
        </w:tc>
        <w:tc>
          <w:tcPr>
            <w:tcW w:w="7391" w:type="dxa"/>
            <w:tcBorders>
              <w:left w:val="single" w:color="auto" w:sz="4" w:space="0"/>
            </w:tcBorders>
            <w:shd w:val="clear" w:color="auto" w:fill="FFFFFF" w:themeFill="background1"/>
            <w:vAlign w:val="center"/>
          </w:tcPr>
          <w:p w14:paraId="774A6253">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支持以Windows Server 2008、Windows Server 2012、Windows Server 2016</w:t>
            </w:r>
            <w:r>
              <w:rPr>
                <w:rFonts w:hint="eastAsia" w:ascii="华文细黑" w:hAnsi="华文细黑" w:eastAsia="华文细黑" w:cs="华文细黑"/>
                <w:bCs/>
                <w:color w:val="000000" w:themeColor="text1"/>
                <w:sz w:val="20"/>
                <w:szCs w:val="20"/>
                <w:lang w:eastAsia="zh-CN"/>
                <w14:textFill>
                  <w14:solidFill>
                    <w14:schemeClr w14:val="tx1"/>
                  </w14:solidFill>
                </w14:textFill>
              </w:rPr>
              <w:t>、</w:t>
            </w:r>
            <w:r>
              <w:rPr>
                <w:rFonts w:hint="eastAsia" w:ascii="华文细黑" w:hAnsi="华文细黑" w:eastAsia="华文细黑" w:cs="华文细黑"/>
                <w:bCs/>
                <w:color w:val="000000" w:themeColor="text1"/>
                <w:sz w:val="20"/>
                <w:szCs w:val="20"/>
                <w14:textFill>
                  <w14:solidFill>
                    <w14:schemeClr w14:val="tx1"/>
                  </w14:solidFill>
                </w14:textFill>
              </w:rPr>
              <w:t>Windows Server 201</w:t>
            </w:r>
            <w:r>
              <w:rPr>
                <w:rFonts w:hint="eastAsia" w:ascii="华文细黑" w:hAnsi="华文细黑" w:eastAsia="华文细黑" w:cs="华文细黑"/>
                <w:bCs/>
                <w:color w:val="000000" w:themeColor="text1"/>
                <w:sz w:val="20"/>
                <w:szCs w:val="20"/>
                <w:lang w:val="en-US" w:eastAsia="zh-CN"/>
                <w14:textFill>
                  <w14:solidFill>
                    <w14:schemeClr w14:val="tx1"/>
                  </w14:solidFill>
                </w14:textFill>
              </w:rPr>
              <w:t>9</w:t>
            </w:r>
            <w:r>
              <w:rPr>
                <w:rFonts w:hint="eastAsia" w:ascii="华文细黑" w:hAnsi="华文细黑" w:eastAsia="华文细黑" w:cs="华文细黑"/>
                <w:bCs/>
                <w:color w:val="000000" w:themeColor="text1"/>
                <w:sz w:val="20"/>
                <w:szCs w:val="20"/>
                <w14:textFill>
                  <w14:solidFill>
                    <w14:schemeClr w14:val="tx1"/>
                  </w14:solidFill>
                </w14:textFill>
              </w:rPr>
              <w:t>作为应用发布服务器。</w:t>
            </w:r>
          </w:p>
        </w:tc>
      </w:tr>
      <w:tr w14:paraId="6E7E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tcPr>
          <w:p w14:paraId="34AA1B24">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49C81BA">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Cs/>
                <w:color w:val="000000" w:themeColor="text1"/>
                <w:sz w:val="20"/>
                <w:szCs w:val="20"/>
                <w14:textFill>
                  <w14:solidFill>
                    <w14:schemeClr w14:val="tx1"/>
                  </w14:solidFill>
                </w14:textFill>
              </w:rPr>
              <w:t>支持多台应用发布服务器以集群的方式部署。</w:t>
            </w:r>
          </w:p>
        </w:tc>
      </w:tr>
      <w:tr w14:paraId="430E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067035B6">
            <w:pPr>
              <w:autoSpaceDE w:val="0"/>
              <w:autoSpaceDN w:val="0"/>
              <w:spacing w:line="276" w:lineRule="auto"/>
              <w:jc w:val="center"/>
              <w:rPr>
                <w:rFonts w:hint="eastAsia" w:ascii="华文细黑" w:hAnsi="华文细黑" w:eastAsia="华文细黑" w:cs="华文细黑"/>
                <w:bCs/>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资源访问功能</w:t>
            </w:r>
          </w:p>
        </w:tc>
        <w:tc>
          <w:tcPr>
            <w:tcW w:w="7391" w:type="dxa"/>
            <w:tcBorders>
              <w:left w:val="single" w:color="auto" w:sz="4" w:space="0"/>
            </w:tcBorders>
            <w:shd w:val="clear" w:color="auto" w:fill="FFFFFF" w:themeFill="background1"/>
            <w:vAlign w:val="center"/>
          </w:tcPr>
          <w:p w14:paraId="04B6C45E">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支持Web、Mstsc、SSH Client等多种访问模式。</w:t>
            </w:r>
          </w:p>
        </w:tc>
      </w:tr>
      <w:tr w14:paraId="75B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35B047B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0CD9FBC">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支持设备收藏功能，用户可以对经常需要访问的目标设备做一键收藏，以便于下次可以直接在收藏夹中找到。</w:t>
            </w:r>
          </w:p>
        </w:tc>
      </w:tr>
      <w:tr w14:paraId="54F4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2F835A93">
            <w:pPr>
              <w:autoSpaceDE w:val="0"/>
              <w:autoSpaceDN w:val="0"/>
              <w:spacing w:line="276" w:lineRule="auto"/>
              <w:jc w:val="center"/>
              <w:rPr>
                <w:rFonts w:hint="eastAsia" w:ascii="华文细黑" w:hAnsi="华文细黑" w:eastAsia="华文细黑" w:cs="华文细黑"/>
                <w:bCs/>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E344BCD">
            <w:pPr>
              <w:autoSpaceDE w:val="0"/>
              <w:autoSpaceDN w:val="0"/>
              <w:spacing w:line="276" w:lineRule="auto"/>
              <w:jc w:val="left"/>
              <w:rPr>
                <w:rFonts w:hint="eastAsia" w:ascii="华文细黑" w:hAnsi="华文细黑" w:eastAsia="华文细黑" w:cs="华文细黑"/>
                <w:bCs/>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bCs/>
                <w:color w:val="000000" w:themeColor="text1"/>
                <w:sz w:val="20"/>
                <w:szCs w:val="20"/>
                <w14:textFill>
                  <w14:solidFill>
                    <w14:schemeClr w14:val="tx1"/>
                  </w14:solidFill>
                </w14:textFill>
              </w:rPr>
              <w:t>支持基于云盘模式的文件向linux系统传输和下载文件：用户将文件暂存在系统上，再经由系统，一键上传到目标系统或者一键下载到用户本地。</w:t>
            </w:r>
            <w:r>
              <w:rPr>
                <w:rFonts w:hint="eastAsia" w:ascii="华文细黑" w:hAnsi="华文细黑" w:eastAsia="华文细黑" w:cs="华文细黑"/>
                <w:color w:val="000000" w:themeColor="text1"/>
                <w:sz w:val="20"/>
                <w:szCs w:val="20"/>
                <w14:textFill>
                  <w14:solidFill>
                    <w14:schemeClr w14:val="tx1"/>
                  </w14:solidFill>
                </w14:textFill>
              </w:rPr>
              <w:t>（提供配置截图，加盖公章）</w:t>
            </w:r>
          </w:p>
        </w:tc>
      </w:tr>
      <w:tr w14:paraId="3967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Merge w:val="restart"/>
            <w:tcBorders>
              <w:top w:val="single" w:color="auto" w:sz="4" w:space="0"/>
              <w:left w:val="single" w:color="auto" w:sz="4" w:space="0"/>
              <w:right w:val="single" w:color="auto" w:sz="4" w:space="0"/>
            </w:tcBorders>
            <w:shd w:val="clear" w:color="auto" w:fill="FFFFFF" w:themeFill="background1"/>
            <w:vAlign w:val="center"/>
          </w:tcPr>
          <w:p w14:paraId="74DC236A">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行为审计功能</w:t>
            </w:r>
          </w:p>
        </w:tc>
        <w:tc>
          <w:tcPr>
            <w:tcW w:w="7391" w:type="dxa"/>
            <w:tcBorders>
              <w:left w:val="single" w:color="auto" w:sz="4" w:space="0"/>
            </w:tcBorders>
            <w:shd w:val="clear" w:color="auto" w:fill="FFFFFF" w:themeFill="background1"/>
            <w:vAlign w:val="center"/>
          </w:tcPr>
          <w:p w14:paraId="2BBA7B99">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windows系统在登录前，能够查看目前在线运维会话数量。</w:t>
            </w:r>
          </w:p>
        </w:tc>
      </w:tr>
      <w:tr w14:paraId="6179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611C5BC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14D1E68">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支持开启或者关闭键盘记录（提供配置截图，加盖公章）</w:t>
            </w:r>
          </w:p>
        </w:tc>
      </w:tr>
      <w:tr w14:paraId="460E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70FD9614">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48F24C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支持图形会话无操作超时自动切断会话，可以设置超时时间</w:t>
            </w:r>
          </w:p>
        </w:tc>
      </w:tr>
      <w:tr w14:paraId="5A7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26" w:type="dxa"/>
            <w:vMerge w:val="continue"/>
            <w:tcBorders>
              <w:left w:val="single" w:color="auto" w:sz="4" w:space="0"/>
              <w:right w:val="single" w:color="auto" w:sz="4" w:space="0"/>
            </w:tcBorders>
            <w:shd w:val="clear" w:color="auto" w:fill="FFFFFF" w:themeFill="background1"/>
            <w:vAlign w:val="center"/>
          </w:tcPr>
          <w:p w14:paraId="29E5A15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2DDA1A3F">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支持设置某个图形会话操作的最大持续时间，超时自动切断会话。</w:t>
            </w:r>
          </w:p>
        </w:tc>
      </w:tr>
      <w:tr w14:paraId="7977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324C3CDD">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0A360BD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确保对各种非常规指令操作的100%识别，特别是TAB补全、长命令的行内编辑、上下箭头等操作；（此条为堡垒机的重要功能，要求投标产品厂商具有能够体现可以获取终端命令访问过程的能力，提供权威机构颁发的证明文件加盖公章证明；有实际部署案例证明命令识别的准确性，提供用户使用报告）</w:t>
            </w:r>
          </w:p>
        </w:tc>
      </w:tr>
      <w:tr w14:paraId="7902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791655FC">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4A54C572">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由于实际业务中数据库操作比较频繁，需要可以根据任意sql语句中的内容为关键字进行会话查询，查询结果可直接定位到相关操作画面；投标产品厂商必须具备数据库访问过程的获取技术能力证明，提供权威机构颁发的证明材料，加盖公章证明。</w:t>
            </w:r>
          </w:p>
        </w:tc>
      </w:tr>
      <w:tr w14:paraId="025F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2533B3A8">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D0166A5">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支持运维数据风险直观展示，能够以topN方式展示TOP资产、TOP用户和TOP敏感操作。</w:t>
            </w:r>
          </w:p>
        </w:tc>
      </w:tr>
      <w:tr w14:paraId="3CBA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right w:val="single" w:color="auto" w:sz="4" w:space="0"/>
            </w:tcBorders>
            <w:shd w:val="clear" w:color="auto" w:fill="FFFFFF" w:themeFill="background1"/>
            <w:vAlign w:val="center"/>
          </w:tcPr>
          <w:p w14:paraId="4CB2552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60C3E15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★支持以1M-10M大小对图形会话进行切片展示功能，管理员点击任意切片，即可直接定位到对应操作片段。（提供配置截图，加盖公章）</w:t>
            </w:r>
          </w:p>
        </w:tc>
      </w:tr>
      <w:tr w14:paraId="4AE2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tcBorders>
              <w:left w:val="single" w:color="auto" w:sz="4" w:space="0"/>
              <w:bottom w:val="single" w:color="auto" w:sz="4" w:space="0"/>
              <w:right w:val="single" w:color="auto" w:sz="4" w:space="0"/>
            </w:tcBorders>
            <w:shd w:val="clear" w:color="auto" w:fill="FFFFFF" w:themeFill="background1"/>
            <w:vAlign w:val="center"/>
          </w:tcPr>
          <w:p w14:paraId="3848E3F9">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tcBorders>
              <w:left w:val="single" w:color="auto" w:sz="4" w:space="0"/>
            </w:tcBorders>
            <w:shd w:val="clear" w:color="auto" w:fill="FFFFFF" w:themeFill="background1"/>
            <w:vAlign w:val="center"/>
          </w:tcPr>
          <w:p w14:paraId="7A5E8C6A">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支持记录登录日志、配置日志及审计记录</w:t>
            </w:r>
          </w:p>
        </w:tc>
      </w:tr>
      <w:tr w14:paraId="459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6" w:type="dxa"/>
            <w:vMerge w:val="restart"/>
            <w:tcBorders>
              <w:top w:val="single" w:color="auto" w:sz="4" w:space="0"/>
            </w:tcBorders>
            <w:shd w:val="clear" w:color="auto" w:fill="FFFFFF" w:themeFill="background1"/>
            <w:vAlign w:val="center"/>
          </w:tcPr>
          <w:p w14:paraId="08D4C9A3">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系统维护功能</w:t>
            </w:r>
          </w:p>
        </w:tc>
        <w:tc>
          <w:tcPr>
            <w:tcW w:w="7391" w:type="dxa"/>
            <w:shd w:val="clear" w:color="auto" w:fill="FFFFFF" w:themeFill="background1"/>
            <w:vAlign w:val="center"/>
          </w:tcPr>
          <w:p w14:paraId="1C5E7AD4">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可以在全局模式下设置会话占用系统资源限制，如图形会话、字符会话、数据库会话占用系统CPU、内存负载限制；也可以按照单会话，设置普通用户和VIP用户对CPU、内存负载限制。（提供配置截图，加盖公章）</w:t>
            </w:r>
          </w:p>
        </w:tc>
      </w:tr>
      <w:tr w14:paraId="4279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6F2CE1CE">
            <w:pPr>
              <w:autoSpaceDE w:val="0"/>
              <w:autoSpaceDN w:val="0"/>
              <w:spacing w:line="276" w:lineRule="auto"/>
              <w:jc w:val="center"/>
              <w:rPr>
                <w:rFonts w:hint="eastAsia" w:ascii="华文细黑" w:hAnsi="华文细黑" w:eastAsia="华文细黑" w:cs="华文细黑"/>
                <w:color w:val="000000" w:themeColor="text1"/>
                <w:sz w:val="20"/>
                <w:szCs w:val="20"/>
                <w14:textFill>
                  <w14:solidFill>
                    <w14:schemeClr w14:val="tx1"/>
                  </w14:solidFill>
                </w14:textFill>
              </w:rPr>
            </w:pPr>
          </w:p>
        </w:tc>
        <w:tc>
          <w:tcPr>
            <w:tcW w:w="7391" w:type="dxa"/>
            <w:shd w:val="clear" w:color="auto" w:fill="FFFFFF" w:themeFill="background1"/>
            <w:vAlign w:val="center"/>
          </w:tcPr>
          <w:p w14:paraId="290E6390">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支持选择天数后一键采集系统日志，能够在WEB页面直接显示出存在故障的服务。</w:t>
            </w:r>
          </w:p>
        </w:tc>
      </w:tr>
      <w:tr w14:paraId="2425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restart"/>
            <w:shd w:val="clear" w:color="auto" w:fill="FFFFFF" w:themeFill="background1"/>
            <w:vAlign w:val="center"/>
          </w:tcPr>
          <w:p w14:paraId="3481E757">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部署管理功能</w:t>
            </w:r>
          </w:p>
        </w:tc>
        <w:tc>
          <w:tcPr>
            <w:tcW w:w="7391" w:type="dxa"/>
            <w:shd w:val="clear" w:color="auto" w:fill="FFFFFF" w:themeFill="background1"/>
            <w:vAlign w:val="center"/>
          </w:tcPr>
          <w:p w14:paraId="5551706C">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支持主、备部署模式</w:t>
            </w:r>
          </w:p>
        </w:tc>
      </w:tr>
      <w:tr w14:paraId="0BC1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Merge w:val="continue"/>
            <w:shd w:val="clear" w:color="auto" w:fill="FFFFFF" w:themeFill="background1"/>
            <w:vAlign w:val="center"/>
          </w:tcPr>
          <w:p w14:paraId="7330BBA6">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p>
        </w:tc>
        <w:tc>
          <w:tcPr>
            <w:tcW w:w="7391" w:type="dxa"/>
            <w:shd w:val="clear" w:color="auto" w:fill="FFFFFF" w:themeFill="background1"/>
            <w:vAlign w:val="center"/>
          </w:tcPr>
          <w:p w14:paraId="1E339736">
            <w:pPr>
              <w:autoSpaceDE w:val="0"/>
              <w:autoSpaceDN w:val="0"/>
              <w:spacing w:line="276" w:lineRule="auto"/>
              <w:jc w:val="left"/>
              <w:rPr>
                <w:rFonts w:hint="eastAsia" w:ascii="华文细黑" w:hAnsi="华文细黑" w:eastAsia="华文细黑" w:cs="华文细黑"/>
                <w:color w:val="000000" w:themeColor="text1"/>
                <w:sz w:val="20"/>
                <w:szCs w:val="20"/>
                <w14:textFill>
                  <w14:solidFill>
                    <w14:schemeClr w14:val="tx1"/>
                  </w14:solidFill>
                </w14:textFill>
              </w:rPr>
            </w:pPr>
            <w:r>
              <w:rPr>
                <w:rFonts w:hint="eastAsia" w:ascii="华文细黑" w:hAnsi="华文细黑" w:eastAsia="华文细黑" w:cs="华文细黑"/>
                <w:color w:val="000000" w:themeColor="text1"/>
                <w:sz w:val="20"/>
                <w:szCs w:val="20"/>
                <w14:textFill>
                  <w14:solidFill>
                    <w14:schemeClr w14:val="tx1"/>
                  </w14:solidFill>
                </w14:textFill>
              </w:rPr>
              <w:t>支持2套以上组成多站点模式部署，各个站点自动同步配置数据（用户、资产和权限等），同时各个站点都能对外提供登录运维。</w:t>
            </w:r>
          </w:p>
        </w:tc>
      </w:tr>
      <w:tr w14:paraId="3B49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shd w:val="clear" w:color="auto" w:fill="FFFFFF" w:themeFill="background1"/>
            <w:vAlign w:val="center"/>
          </w:tcPr>
          <w:p w14:paraId="6A682E2B">
            <w:pPr>
              <w:autoSpaceDE w:val="0"/>
              <w:autoSpaceDN w:val="0"/>
              <w:spacing w:line="276" w:lineRule="auto"/>
              <w:jc w:val="center"/>
              <w:rPr>
                <w:rFonts w:hint="eastAsia" w:ascii="华文细黑" w:hAnsi="华文细黑" w:eastAsia="华文细黑" w:cs="华文细黑"/>
                <w:color w:val="000000" w:themeColor="text1"/>
                <w:sz w:val="20"/>
                <w:szCs w:val="20"/>
                <w:lang w:val="en-US" w:eastAsia="zh-CN"/>
                <w14:textFill>
                  <w14:solidFill>
                    <w14:schemeClr w14:val="tx1"/>
                  </w14:solidFill>
                </w14:textFill>
              </w:rPr>
            </w:pPr>
            <w:r>
              <w:rPr>
                <w:rFonts w:hint="eastAsia" w:ascii="华文细黑" w:hAnsi="华文细黑" w:eastAsia="华文细黑" w:cs="华文细黑"/>
                <w:color w:val="000000" w:themeColor="text1"/>
                <w:sz w:val="20"/>
                <w:szCs w:val="20"/>
                <w:lang w:val="en-US" w:eastAsia="zh-CN"/>
                <w14:textFill>
                  <w14:solidFill>
                    <w14:schemeClr w14:val="tx1"/>
                  </w14:solidFill>
                </w14:textFill>
              </w:rPr>
              <w:t>兼容性要求</w:t>
            </w:r>
          </w:p>
        </w:tc>
        <w:tc>
          <w:tcPr>
            <w:tcW w:w="7391" w:type="dxa"/>
            <w:shd w:val="clear" w:color="auto" w:fill="FFFFFF" w:themeFill="background1"/>
            <w:vAlign w:val="center"/>
          </w:tcPr>
          <w:p w14:paraId="4EBBCAEB">
            <w:pPr>
              <w:autoSpaceDE w:val="0"/>
              <w:autoSpaceDN w:val="0"/>
              <w:spacing w:line="276" w:lineRule="auto"/>
              <w:jc w:val="left"/>
              <w:rPr>
                <w:rFonts w:hint="eastAsia" w:ascii="华文细黑" w:hAnsi="华文细黑" w:eastAsia="华文细黑" w:cs="华文细黑"/>
                <w:color w:val="000000" w:themeColor="text1"/>
                <w:sz w:val="20"/>
                <w:szCs w:val="20"/>
                <w:lang w:eastAsia="zh-CN"/>
                <w14:textFill>
                  <w14:solidFill>
                    <w14:schemeClr w14:val="tx1"/>
                  </w14:solidFill>
                </w14:textFill>
              </w:rPr>
            </w:pPr>
            <w:r>
              <w:rPr>
                <w:rFonts w:hint="eastAsia" w:ascii="华文细黑" w:hAnsi="华文细黑" w:eastAsia="华文细黑" w:cs="华文细黑"/>
                <w:b/>
                <w:bCs/>
                <w:color w:val="000000" w:themeColor="text1"/>
                <w:sz w:val="20"/>
                <w:szCs w:val="20"/>
                <w14:textFill>
                  <w14:solidFill>
                    <w14:schemeClr w14:val="tx1"/>
                  </w14:solidFill>
                </w14:textFill>
              </w:rPr>
              <w:t>★</w:t>
            </w:r>
            <w:r>
              <w:rPr>
                <w:rFonts w:hint="eastAsia" w:ascii="华文细黑" w:hAnsi="华文细黑" w:eastAsia="华文细黑" w:cs="华文细黑"/>
                <w:color w:val="000000" w:themeColor="text1"/>
                <w:sz w:val="20"/>
                <w:szCs w:val="20"/>
                <w14:textFill>
                  <w14:solidFill>
                    <w14:schemeClr w14:val="tx1"/>
                  </w14:solidFill>
                </w14:textFill>
              </w:rPr>
              <w:t>为了保证后期运维数据的完整性，需要所投堡垒机产品与医院</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原</w:t>
            </w:r>
            <w:r>
              <w:rPr>
                <w:rFonts w:hint="eastAsia" w:ascii="华文细黑" w:hAnsi="华文细黑" w:eastAsia="华文细黑" w:cs="华文细黑"/>
                <w:color w:val="000000" w:themeColor="text1"/>
                <w:sz w:val="20"/>
                <w:szCs w:val="20"/>
                <w14:textFill>
                  <w14:solidFill>
                    <w14:schemeClr w14:val="tx1"/>
                  </w14:solidFill>
                </w14:textFill>
              </w:rPr>
              <w:t>有堡垒机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可以联动调试，确保运维数据无缝迁移至新堡垒机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。要求投标产品和</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原</w:t>
            </w:r>
            <w:r>
              <w:rPr>
                <w:rFonts w:hint="eastAsia" w:ascii="华文细黑" w:hAnsi="华文细黑" w:eastAsia="华文细黑" w:cs="华文细黑"/>
                <w:color w:val="000000" w:themeColor="text1"/>
                <w:sz w:val="20"/>
                <w:szCs w:val="20"/>
                <w14:textFill>
                  <w14:solidFill>
                    <w14:schemeClr w14:val="tx1"/>
                  </w14:solidFill>
                </w14:textFill>
              </w:rPr>
              <w:t>有堡垒机</w:t>
            </w:r>
            <w:r>
              <w:rPr>
                <w:rFonts w:hint="eastAsia" w:ascii="华文细黑" w:hAnsi="华文细黑" w:eastAsia="华文细黑" w:cs="华文细黑"/>
                <w:color w:val="000000" w:themeColor="text1"/>
                <w:sz w:val="20"/>
                <w:szCs w:val="20"/>
                <w:lang w:val="en-US" w:eastAsia="zh-CN"/>
                <w14:textFill>
                  <w14:solidFill>
                    <w14:schemeClr w14:val="tx1"/>
                  </w14:solidFill>
                </w14:textFill>
              </w:rPr>
              <w:t>系统</w:t>
            </w:r>
            <w:r>
              <w:rPr>
                <w:rFonts w:hint="eastAsia" w:ascii="华文细黑" w:hAnsi="华文细黑" w:eastAsia="华文细黑" w:cs="华文细黑"/>
                <w:color w:val="000000" w:themeColor="text1"/>
                <w:sz w:val="20"/>
                <w:szCs w:val="20"/>
                <w14:textFill>
                  <w14:solidFill>
                    <w14:schemeClr w14:val="tx1"/>
                  </w14:solidFill>
                </w14:textFill>
              </w:rPr>
              <w:t>具有良好的兼容性，提供堡垒机厂家兼容证明</w:t>
            </w:r>
            <w:r>
              <w:rPr>
                <w:rFonts w:hint="eastAsia" w:ascii="华文细黑" w:hAnsi="华文细黑" w:eastAsia="华文细黑" w:cs="华文细黑"/>
                <w:color w:val="000000" w:themeColor="text1"/>
                <w:sz w:val="20"/>
                <w:szCs w:val="20"/>
                <w:lang w:eastAsia="zh-CN"/>
                <w14:textFill>
                  <w14:solidFill>
                    <w14:schemeClr w14:val="tx1"/>
                  </w14:solidFill>
                </w14:textFill>
              </w:rPr>
              <w:t>。</w:t>
            </w:r>
          </w:p>
        </w:tc>
      </w:tr>
    </w:tbl>
    <w:p w14:paraId="6A8B40E4">
      <w:pPr>
        <w:numPr>
          <w:ilvl w:val="0"/>
          <w:numId w:val="0"/>
        </w:numPr>
        <w:rPr>
          <w:rFonts w:hint="eastAsia" w:ascii="华文细黑" w:hAnsi="华文细黑" w:eastAsia="华文细黑" w:cs="华文细黑"/>
          <w:lang w:val="en-US" w:eastAsia="zh-CN"/>
        </w:rPr>
      </w:pPr>
    </w:p>
    <w:p w14:paraId="7FA53252">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工程内容</w:t>
      </w:r>
    </w:p>
    <w:p w14:paraId="46D21EB0">
      <w:pPr>
        <w:numPr>
          <w:ilvl w:val="0"/>
          <w:numId w:val="4"/>
        </w:numPr>
        <w:ind w:leftChars="0"/>
        <w:rPr>
          <w:rFonts w:hint="eastAsia" w:ascii="华文细黑" w:hAnsi="华文细黑" w:eastAsia="华文细黑" w:cs="华文细黑"/>
          <w:i w:val="0"/>
          <w:iCs w:val="0"/>
          <w:caps w:val="0"/>
          <w:color w:val="000000"/>
          <w:spacing w:val="0"/>
          <w:sz w:val="21"/>
          <w:szCs w:val="21"/>
          <w:lang w:val="en-US" w:eastAsia="zh-CN"/>
        </w:rPr>
      </w:pPr>
      <w:r>
        <w:rPr>
          <w:rFonts w:hint="eastAsia" w:ascii="华文细黑" w:hAnsi="华文细黑" w:eastAsia="华文细黑" w:cs="华文细黑"/>
          <w:i w:val="0"/>
          <w:iCs w:val="0"/>
          <w:caps w:val="0"/>
          <w:color w:val="000000"/>
          <w:spacing w:val="0"/>
          <w:sz w:val="21"/>
          <w:szCs w:val="21"/>
          <w:lang w:val="en-US" w:eastAsia="zh-CN"/>
        </w:rPr>
        <w:t>原有堡垒机迁移；</w:t>
      </w:r>
    </w:p>
    <w:p w14:paraId="532ACB54">
      <w:pPr>
        <w:numPr>
          <w:ilvl w:val="0"/>
          <w:numId w:val="4"/>
        </w:numPr>
        <w:ind w:left="0" w:leftChars="0" w:firstLine="0" w:firstLineChars="0"/>
        <w:rPr>
          <w:rFonts w:hint="eastAsia" w:ascii="华文细黑" w:hAnsi="华文细黑" w:eastAsia="华文细黑" w:cs="华文细黑"/>
          <w:i w:val="0"/>
          <w:iCs w:val="0"/>
          <w:caps w:val="0"/>
          <w:color w:val="000000"/>
          <w:spacing w:val="0"/>
          <w:sz w:val="21"/>
          <w:szCs w:val="21"/>
          <w:lang w:val="en-US" w:eastAsia="zh-CN"/>
        </w:rPr>
      </w:pPr>
      <w:r>
        <w:rPr>
          <w:rFonts w:hint="eastAsia" w:ascii="华文细黑" w:hAnsi="华文细黑" w:eastAsia="华文细黑" w:cs="华文细黑"/>
          <w:i w:val="0"/>
          <w:iCs w:val="0"/>
          <w:caps w:val="0"/>
          <w:color w:val="000000"/>
          <w:spacing w:val="0"/>
          <w:sz w:val="21"/>
          <w:szCs w:val="21"/>
          <w:lang w:val="en-US" w:eastAsia="zh-CN"/>
        </w:rPr>
        <w:t>内网堡垒机采购：1套。</w:t>
      </w:r>
    </w:p>
    <w:p w14:paraId="0E0E043F">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质量标准</w:t>
      </w:r>
    </w:p>
    <w:p w14:paraId="3589E1D1">
      <w:pPr>
        <w:numPr>
          <w:ilvl w:val="0"/>
          <w:numId w:val="5"/>
        </w:numPr>
        <w:ind w:leftChars="0"/>
        <w:rPr>
          <w:rFonts w:hint="eastAsia" w:ascii="华文细黑" w:hAnsi="华文细黑" w:eastAsia="华文细黑" w:cs="华文细黑"/>
          <w:b w:val="0"/>
          <w:bCs w:val="0"/>
          <w:highlight w:val="none"/>
          <w:lang w:val="en-US" w:eastAsia="zh-CN"/>
        </w:rPr>
      </w:pPr>
      <w:r>
        <w:rPr>
          <w:rFonts w:hint="eastAsia" w:ascii="华文细黑" w:hAnsi="华文细黑" w:eastAsia="华文细黑" w:cs="华文细黑"/>
          <w:b w:val="0"/>
          <w:bCs w:val="0"/>
          <w:highlight w:val="none"/>
          <w:lang w:val="en-US" w:eastAsia="zh-CN"/>
        </w:rPr>
        <w:t>所投标的物是全新的，未使用过的，完全符合医院所需的功能和性能要求。</w:t>
      </w:r>
    </w:p>
    <w:p w14:paraId="1D5B256D">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验收标准</w:t>
      </w:r>
    </w:p>
    <w:p w14:paraId="4A167C97">
      <w:pPr>
        <w:numPr>
          <w:ilvl w:val="0"/>
          <w:numId w:val="6"/>
        </w:numPr>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新采购的堡垒机已正常使用；</w:t>
      </w:r>
    </w:p>
    <w:p w14:paraId="6A766FB8">
      <w:pPr>
        <w:numPr>
          <w:ilvl w:val="0"/>
          <w:numId w:val="6"/>
        </w:numPr>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val="0"/>
          <w:bCs w:val="0"/>
          <w:sz w:val="21"/>
          <w:szCs w:val="21"/>
          <w:highlight w:val="none"/>
          <w:lang w:val="en-US" w:eastAsia="zh-CN"/>
        </w:rPr>
        <w:t>医院原有的堡垒机迁移至外网并已正常使用。</w:t>
      </w:r>
    </w:p>
    <w:p w14:paraId="171D2945">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商务要求</w:t>
      </w:r>
    </w:p>
    <w:tbl>
      <w:tblPr>
        <w:tblStyle w:val="9"/>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3B966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0844A86E">
            <w:pPr>
              <w:rPr>
                <w:rFonts w:hint="eastAsia" w:ascii="华文细黑" w:hAnsi="华文细黑" w:eastAsia="华文细黑" w:cs="华文细黑"/>
              </w:rPr>
            </w:pPr>
            <w:r>
              <w:rPr>
                <w:rFonts w:hint="eastAsia" w:ascii="华文细黑" w:hAnsi="华文细黑" w:eastAsia="华文细黑" w:cs="华文细黑"/>
                <w:bCs/>
                <w:kern w:val="0"/>
                <w:szCs w:val="21"/>
              </w:rPr>
              <w:t>★采购预算</w:t>
            </w:r>
          </w:p>
        </w:tc>
        <w:tc>
          <w:tcPr>
            <w:tcW w:w="6524" w:type="dxa"/>
            <w:vAlign w:val="center"/>
          </w:tcPr>
          <w:p w14:paraId="19AC307B">
            <w:pPr>
              <w:rPr>
                <w:rFonts w:hint="eastAsia" w:ascii="华文细黑" w:hAnsi="华文细黑" w:eastAsia="华文细黑" w:cs="华文细黑"/>
              </w:rPr>
            </w:pPr>
            <w:r>
              <w:rPr>
                <w:rFonts w:hint="eastAsia" w:ascii="华文细黑" w:hAnsi="华文细黑" w:eastAsia="华文细黑" w:cs="华文细黑"/>
                <w:bCs/>
                <w:kern w:val="0"/>
                <w:szCs w:val="21"/>
                <w:highlight w:val="none"/>
                <w:lang w:val="en-US" w:eastAsia="zh-CN"/>
              </w:rPr>
              <w:t>17.5万</w:t>
            </w:r>
            <w:r>
              <w:rPr>
                <w:rFonts w:hint="eastAsia" w:ascii="华文细黑" w:hAnsi="华文细黑" w:eastAsia="华文细黑" w:cs="华文细黑"/>
                <w:bCs/>
                <w:kern w:val="0"/>
                <w:szCs w:val="21"/>
                <w:highlight w:val="none"/>
              </w:rPr>
              <w:t>元</w:t>
            </w:r>
          </w:p>
        </w:tc>
      </w:tr>
      <w:tr w14:paraId="4BE40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D6FDD35">
            <w:pPr>
              <w:rPr>
                <w:rFonts w:hint="eastAsia" w:ascii="华文细黑" w:hAnsi="华文细黑" w:eastAsia="华文细黑" w:cs="华文细黑"/>
              </w:rPr>
            </w:pPr>
            <w:r>
              <w:rPr>
                <w:rFonts w:hint="eastAsia" w:ascii="华文细黑" w:hAnsi="华文细黑" w:eastAsia="华文细黑" w:cs="华文细黑"/>
                <w:bCs/>
                <w:szCs w:val="21"/>
              </w:rPr>
              <w:t>谈判响应货币</w:t>
            </w:r>
          </w:p>
        </w:tc>
        <w:tc>
          <w:tcPr>
            <w:tcW w:w="6524" w:type="dxa"/>
            <w:vAlign w:val="center"/>
          </w:tcPr>
          <w:p w14:paraId="404FB50C">
            <w:pPr>
              <w:shd w:val="clear" w:color="auto" w:fill="FFFFFF"/>
              <w:topLinePunct/>
              <w:outlineLvl w:val="0"/>
              <w:rPr>
                <w:rFonts w:hint="eastAsia" w:ascii="华文细黑" w:hAnsi="华文细黑" w:eastAsia="华文细黑" w:cs="华文细黑"/>
              </w:rPr>
            </w:pPr>
            <w:r>
              <w:rPr>
                <w:rFonts w:hint="eastAsia" w:ascii="华文细黑" w:hAnsi="华文细黑" w:eastAsia="华文细黑" w:cs="华文细黑"/>
                <w:bCs/>
                <w:kern w:val="0"/>
                <w:szCs w:val="21"/>
              </w:rPr>
              <w:t>谈判</w:t>
            </w:r>
            <w:r>
              <w:rPr>
                <w:rFonts w:hint="eastAsia" w:ascii="华文细黑" w:hAnsi="华文细黑" w:eastAsia="华文细黑" w:cs="华文细黑"/>
                <w:kern w:val="0"/>
                <w:szCs w:val="21"/>
              </w:rPr>
              <w:t>响应文件中的所有设备单价和总价采用人民币报价，以元为单位标注。</w:t>
            </w:r>
          </w:p>
        </w:tc>
      </w:tr>
      <w:tr w14:paraId="057D4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trPr>
        <w:tc>
          <w:tcPr>
            <w:tcW w:w="1901" w:type="dxa"/>
            <w:vAlign w:val="center"/>
          </w:tcPr>
          <w:p w14:paraId="76939B0E">
            <w:pPr>
              <w:rPr>
                <w:rFonts w:hint="eastAsia" w:ascii="华文细黑" w:hAnsi="华文细黑" w:eastAsia="华文细黑" w:cs="华文细黑"/>
              </w:rPr>
            </w:pPr>
            <w:r>
              <w:rPr>
                <w:rFonts w:hint="eastAsia" w:ascii="华文细黑" w:hAnsi="华文细黑" w:eastAsia="华文细黑" w:cs="华文细黑"/>
                <w:bCs/>
                <w:szCs w:val="21"/>
              </w:rPr>
              <w:t>★报价</w:t>
            </w:r>
          </w:p>
        </w:tc>
        <w:tc>
          <w:tcPr>
            <w:tcW w:w="6524" w:type="dxa"/>
            <w:vAlign w:val="center"/>
          </w:tcPr>
          <w:p w14:paraId="41084514">
            <w:pPr>
              <w:rPr>
                <w:rFonts w:hint="eastAsia" w:ascii="华文细黑" w:hAnsi="华文细黑" w:eastAsia="华文细黑" w:cs="华文细黑"/>
                <w:szCs w:val="21"/>
                <w:highlight w:val="cyan"/>
              </w:rPr>
            </w:pPr>
            <w:r>
              <w:rPr>
                <w:rFonts w:hint="eastAsia" w:ascii="华文细黑" w:hAnsi="华文细黑" w:eastAsia="华文细黑" w:cs="华文细黑"/>
              </w:rPr>
              <w:t>本价格为采购人支付的总包价格，为保证</w:t>
            </w:r>
            <w:r>
              <w:rPr>
                <w:rFonts w:hint="eastAsia" w:ascii="华文细黑" w:hAnsi="华文细黑" w:eastAsia="华文细黑" w:cs="华文细黑"/>
                <w:kern w:val="0"/>
                <w:szCs w:val="21"/>
              </w:rPr>
              <w:t>本项目</w:t>
            </w:r>
            <w:r>
              <w:rPr>
                <w:rFonts w:hint="eastAsia" w:ascii="华文细黑" w:hAnsi="华文细黑" w:eastAsia="华文细黑" w:cs="华文细黑"/>
              </w:rPr>
              <w:t>正常运行所产生的所有费用均由中标人承担。</w:t>
            </w:r>
          </w:p>
        </w:tc>
      </w:tr>
      <w:tr w14:paraId="461AD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6" w:hRule="atLeast"/>
        </w:trPr>
        <w:tc>
          <w:tcPr>
            <w:tcW w:w="1901" w:type="dxa"/>
            <w:vAlign w:val="center"/>
          </w:tcPr>
          <w:p w14:paraId="32182E27">
            <w:pPr>
              <w:rPr>
                <w:rFonts w:hint="eastAsia" w:ascii="华文细黑" w:hAnsi="华文细黑" w:eastAsia="华文细黑" w:cs="华文细黑"/>
              </w:rPr>
            </w:pPr>
            <w:r>
              <w:rPr>
                <w:rFonts w:hint="eastAsia" w:ascii="华文细黑" w:hAnsi="华文细黑" w:eastAsia="华文细黑" w:cs="华文细黑"/>
                <w:bCs/>
                <w:kern w:val="0"/>
                <w:szCs w:val="21"/>
              </w:rPr>
              <w:t>★付款方式</w:t>
            </w:r>
          </w:p>
        </w:tc>
        <w:tc>
          <w:tcPr>
            <w:tcW w:w="6524" w:type="dxa"/>
            <w:vAlign w:val="center"/>
          </w:tcPr>
          <w:p w14:paraId="0D6EEECB">
            <w:pPr>
              <w:jc w:val="both"/>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验收合格后付80%合同款，余款两年后一次性付清。</w:t>
            </w:r>
          </w:p>
          <w:p w14:paraId="77333732">
            <w:pPr>
              <w:outlineLvl w:val="0"/>
              <w:rPr>
                <w:rFonts w:hint="eastAsia" w:ascii="华文细黑" w:hAnsi="华文细黑" w:eastAsia="华文细黑" w:cs="华文细黑"/>
              </w:rPr>
            </w:pPr>
          </w:p>
        </w:tc>
      </w:tr>
      <w:tr w14:paraId="01553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74049E05">
            <w:pPr>
              <w:rPr>
                <w:rFonts w:hint="eastAsia" w:ascii="华文细黑" w:hAnsi="华文细黑" w:eastAsia="华文细黑" w:cs="华文细黑"/>
                <w:bCs/>
                <w:kern w:val="0"/>
                <w:szCs w:val="21"/>
                <w:highlight w:val="yellow"/>
              </w:rPr>
            </w:pPr>
            <w:r>
              <w:rPr>
                <w:rFonts w:hint="eastAsia" w:ascii="华文细黑" w:hAnsi="华文细黑" w:eastAsia="华文细黑" w:cs="华文细黑"/>
                <w:bCs/>
                <w:kern w:val="0"/>
                <w:szCs w:val="21"/>
              </w:rPr>
              <w:t>履约要求</w:t>
            </w:r>
          </w:p>
        </w:tc>
        <w:tc>
          <w:tcPr>
            <w:tcW w:w="6524" w:type="dxa"/>
            <w:vAlign w:val="center"/>
          </w:tcPr>
          <w:p w14:paraId="452BFE21">
            <w:pPr>
              <w:pStyle w:val="8"/>
              <w:keepNext w:val="0"/>
              <w:keepLines w:val="0"/>
              <w:pageBreakBefore w:val="0"/>
              <w:widowControl/>
              <w:numPr>
                <w:ilvl w:val="0"/>
                <w:numId w:val="7"/>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合同经双方签字生效后，双方必须严格遵守，除因不可抗力情形，任何一方不得单方面解除或终止合同，否则应向对方支付违约金</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u w:val="single"/>
                <w:lang w:val="en-US" w:eastAsia="zh-CN"/>
              </w:rPr>
              <w:t>8500</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元。</w:t>
            </w:r>
          </w:p>
          <w:p w14:paraId="3EE25FCF">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highlight w:val="yellow"/>
              </w:rPr>
            </w:pP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一方未遵守合同约定构成违约的，应当向守约方支付违约金</w:t>
            </w:r>
            <w:r>
              <w:rPr>
                <w:rFonts w:hint="eastAsia" w:ascii="华文细黑" w:hAnsi="华文细黑" w:eastAsia="华文细黑" w:cs="华文细黑"/>
                <w:sz w:val="21"/>
                <w:szCs w:val="21"/>
                <w:u w:val="single"/>
                <w:lang w:val="en-US" w:eastAsia="zh-CN"/>
              </w:rPr>
              <w:t>8500</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元</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并赔偿守约方因此产生的损失。</w:t>
            </w:r>
          </w:p>
          <w:p w14:paraId="2FCA236F">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华文细黑" w:hAnsi="华文细黑" w:eastAsia="华文细黑" w:cs="华文细黑"/>
                <w:highlight w:val="yellow"/>
              </w:rPr>
            </w:pPr>
            <w:r>
              <w:rPr>
                <w:rFonts w:hint="eastAsia" w:ascii="华文细黑" w:hAnsi="华文细黑" w:eastAsia="华文细黑" w:cs="华文细黑"/>
                <w:sz w:val="21"/>
                <w:szCs w:val="21"/>
                <w:lang w:val="en-US" w:eastAsia="zh-CN"/>
              </w:rPr>
              <w:t>3.</w:t>
            </w:r>
            <w:r>
              <w:rPr>
                <w:rFonts w:hint="eastAsia" w:ascii="华文细黑" w:hAnsi="华文细黑" w:eastAsia="华文细黑" w:cs="华文细黑"/>
                <w:sz w:val="21"/>
                <w:szCs w:val="21"/>
              </w:rPr>
              <w:t>本合同不得转包，如有违反，</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有权解除本合同，同时，</w:t>
            </w:r>
            <w:r>
              <w:rPr>
                <w:rFonts w:hint="eastAsia" w:ascii="华文细黑" w:hAnsi="华文细黑" w:eastAsia="华文细黑" w:cs="华文细黑"/>
                <w:sz w:val="21"/>
                <w:szCs w:val="21"/>
                <w:lang w:val="en-US" w:eastAsia="zh-CN"/>
              </w:rPr>
              <w:t>中标人</w:t>
            </w:r>
            <w:r>
              <w:rPr>
                <w:rFonts w:hint="eastAsia" w:ascii="华文细黑" w:hAnsi="华文细黑" w:eastAsia="华文细黑" w:cs="华文细黑"/>
                <w:sz w:val="21"/>
                <w:szCs w:val="21"/>
              </w:rPr>
              <w:t>应向</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 xml:space="preserve">承担合同总价款 </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u w:val="single"/>
                <w:lang w:val="en-US" w:eastAsia="zh-CN"/>
              </w:rPr>
              <w:t>5</w:t>
            </w:r>
            <w:r>
              <w:rPr>
                <w:rFonts w:hint="eastAsia" w:ascii="华文细黑" w:hAnsi="华文细黑" w:eastAsia="华文细黑" w:cs="华文细黑"/>
                <w:sz w:val="21"/>
                <w:szCs w:val="21"/>
                <w:u w:val="single"/>
              </w:rPr>
              <w:t xml:space="preserve"> %</w:t>
            </w:r>
            <w:r>
              <w:rPr>
                <w:rFonts w:hint="eastAsia" w:ascii="华文细黑" w:hAnsi="华文细黑" w:eastAsia="华文细黑" w:cs="华文细黑"/>
                <w:sz w:val="21"/>
                <w:szCs w:val="21"/>
              </w:rPr>
              <w:t>的违约金，给</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造成损失的，还应赔偿</w:t>
            </w:r>
            <w:r>
              <w:rPr>
                <w:rFonts w:hint="eastAsia" w:ascii="华文细黑" w:hAnsi="华文细黑" w:eastAsia="华文细黑" w:cs="华文细黑"/>
                <w:sz w:val="21"/>
                <w:szCs w:val="21"/>
                <w:lang w:val="en-US" w:eastAsia="zh-CN"/>
              </w:rPr>
              <w:t>采购人</w:t>
            </w:r>
            <w:r>
              <w:rPr>
                <w:rFonts w:hint="eastAsia" w:ascii="华文细黑" w:hAnsi="华文细黑" w:eastAsia="华文细黑" w:cs="华文细黑"/>
                <w:sz w:val="21"/>
                <w:szCs w:val="21"/>
              </w:rPr>
              <w:t>一切经济损失。</w:t>
            </w:r>
          </w:p>
        </w:tc>
      </w:tr>
      <w:tr w14:paraId="6E172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5827903B">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履约保证金</w:t>
            </w:r>
          </w:p>
        </w:tc>
        <w:tc>
          <w:tcPr>
            <w:tcW w:w="6524" w:type="dxa"/>
            <w:vAlign w:val="center"/>
          </w:tcPr>
          <w:p w14:paraId="72DD6D88">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highlight w:val="none"/>
                <w:lang w:val="en-US" w:eastAsia="zh-CN"/>
              </w:rPr>
              <w:t>本项目不收取</w:t>
            </w:r>
            <w:r>
              <w:rPr>
                <w:rFonts w:hint="eastAsia" w:ascii="华文细黑" w:hAnsi="华文细黑" w:eastAsia="华文细黑" w:cs="华文细黑"/>
                <w:bCs/>
                <w:kern w:val="0"/>
                <w:sz w:val="21"/>
                <w:szCs w:val="21"/>
                <w:highlight w:val="none"/>
                <w:lang w:val="en-US" w:eastAsia="zh-CN"/>
              </w:rPr>
              <w:t>履约保证金。</w:t>
            </w:r>
          </w:p>
        </w:tc>
      </w:tr>
      <w:tr w14:paraId="73483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44ACC93D">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工期要求</w:t>
            </w:r>
          </w:p>
        </w:tc>
        <w:tc>
          <w:tcPr>
            <w:tcW w:w="6524" w:type="dxa"/>
            <w:vAlign w:val="center"/>
          </w:tcPr>
          <w:p w14:paraId="24CE0114">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textAlignment w:val="auto"/>
              <w:rPr>
                <w:rFonts w:hint="default" w:ascii="华文细黑" w:hAnsi="华文细黑" w:eastAsia="华文细黑" w:cs="华文细黑"/>
                <w:sz w:val="21"/>
                <w:szCs w:val="21"/>
                <w:highlight w:val="yellow"/>
                <w:lang w:val="en-US" w:eastAsia="zh-CN"/>
              </w:rPr>
            </w:pPr>
            <w:r>
              <w:rPr>
                <w:rFonts w:hint="default" w:ascii="华文细黑" w:hAnsi="华文细黑" w:eastAsia="华文细黑" w:cs="华文细黑"/>
                <w:sz w:val="21"/>
                <w:szCs w:val="21"/>
                <w:highlight w:val="none"/>
                <w:lang w:val="en-US" w:eastAsia="zh-CN"/>
              </w:rPr>
              <w:t>合同签订后15日历日内</w:t>
            </w:r>
            <w:r>
              <w:rPr>
                <w:rFonts w:hint="eastAsia" w:ascii="华文细黑" w:hAnsi="华文细黑" w:eastAsia="华文细黑" w:cs="华文细黑"/>
                <w:sz w:val="21"/>
                <w:szCs w:val="21"/>
                <w:highlight w:val="none"/>
                <w:lang w:val="en-US" w:eastAsia="zh-CN"/>
              </w:rPr>
              <w:t>。</w:t>
            </w:r>
          </w:p>
        </w:tc>
      </w:tr>
      <w:tr w14:paraId="1AC51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7983FCF9">
            <w:pPr>
              <w:rPr>
                <w:rFonts w:hint="eastAsia" w:ascii="华文细黑" w:hAnsi="华文细黑" w:eastAsia="华文细黑" w:cs="华文细黑"/>
                <w:bCs/>
                <w:kern w:val="0"/>
                <w:szCs w:val="21"/>
                <w:lang w:val="en-US" w:eastAsia="zh-CN"/>
              </w:rPr>
            </w:pPr>
            <w:r>
              <w:rPr>
                <w:rFonts w:hint="eastAsia" w:ascii="华文细黑" w:hAnsi="华文细黑" w:eastAsia="华文细黑" w:cs="华文细黑"/>
                <w:bCs/>
                <w:kern w:val="0"/>
                <w:szCs w:val="21"/>
                <w:lang w:val="en-US" w:eastAsia="zh-CN"/>
              </w:rPr>
              <w:t>工程质量保证期</w:t>
            </w:r>
          </w:p>
        </w:tc>
        <w:tc>
          <w:tcPr>
            <w:tcW w:w="6524" w:type="dxa"/>
            <w:vAlign w:val="center"/>
          </w:tcPr>
          <w:p w14:paraId="238B5C17">
            <w:pPr>
              <w:pStyle w:val="8"/>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b w:val="0"/>
                <w:bCs w:val="0"/>
                <w:sz w:val="21"/>
                <w:szCs w:val="21"/>
                <w:highlight w:val="none"/>
                <w:lang w:val="en-US" w:eastAsia="zh-CN"/>
              </w:rPr>
            </w:pPr>
            <w:r>
              <w:rPr>
                <w:rFonts w:hint="eastAsia" w:ascii="华文细黑" w:hAnsi="华文细黑" w:eastAsia="华文细黑" w:cs="华文细黑"/>
                <w:b w:val="0"/>
                <w:bCs w:val="0"/>
                <w:sz w:val="21"/>
                <w:szCs w:val="21"/>
                <w:highlight w:val="none"/>
                <w:lang w:val="en-US" w:eastAsia="zh-CN"/>
              </w:rPr>
              <w:t>新采购的堡垒机提供原厂三年免费质保；</w:t>
            </w:r>
          </w:p>
          <w:p w14:paraId="2FD7CA18">
            <w:pPr>
              <w:pStyle w:val="8"/>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华文细黑" w:hAnsi="华文细黑" w:eastAsia="华文细黑" w:cs="华文细黑"/>
                <w:b w:val="0"/>
                <w:bCs w:val="0"/>
                <w:sz w:val="24"/>
                <w:szCs w:val="24"/>
                <w:highlight w:val="none"/>
                <w:lang w:val="en-US" w:eastAsia="zh-CN"/>
              </w:rPr>
            </w:pPr>
            <w:r>
              <w:rPr>
                <w:rFonts w:hint="eastAsia" w:ascii="华文细黑" w:hAnsi="华文细黑" w:eastAsia="华文细黑" w:cs="华文细黑"/>
                <w:i w:val="0"/>
                <w:iCs w:val="0"/>
                <w:caps w:val="0"/>
                <w:color w:val="000000"/>
                <w:spacing w:val="0"/>
                <w:sz w:val="21"/>
                <w:szCs w:val="21"/>
                <w:lang w:val="en-US" w:eastAsia="zh-CN"/>
              </w:rPr>
              <w:t>2.原有堡垒机迁移后</w:t>
            </w:r>
            <w:r>
              <w:rPr>
                <w:rFonts w:hint="eastAsia" w:ascii="华文细黑" w:hAnsi="华文细黑" w:eastAsia="华文细黑" w:cs="华文细黑"/>
                <w:i w:val="0"/>
                <w:iCs w:val="0"/>
                <w:caps w:val="0"/>
                <w:color w:val="000000"/>
                <w:spacing w:val="0"/>
                <w:sz w:val="21"/>
                <w:szCs w:val="21"/>
                <w:highlight w:val="none"/>
                <w:lang w:val="en-US" w:eastAsia="zh-CN"/>
              </w:rPr>
              <w:t>提供</w:t>
            </w:r>
            <w:r>
              <w:rPr>
                <w:rFonts w:hint="eastAsia" w:ascii="华文细黑" w:hAnsi="华文细黑" w:eastAsia="华文细黑" w:cs="华文细黑"/>
                <w:i w:val="0"/>
                <w:iCs w:val="0"/>
                <w:caps w:val="0"/>
                <w:color w:val="000000"/>
                <w:spacing w:val="0"/>
                <w:sz w:val="21"/>
                <w:szCs w:val="21"/>
                <w:lang w:val="en-US" w:eastAsia="zh-CN"/>
              </w:rPr>
              <w:t>原厂三年免费维保。</w:t>
            </w:r>
          </w:p>
        </w:tc>
      </w:tr>
    </w:tbl>
    <w:p w14:paraId="6704977D">
      <w:pPr>
        <w:topLinePunct/>
        <w:rPr>
          <w:rFonts w:hint="eastAsia" w:ascii="华文细黑" w:hAnsi="华文细黑" w:eastAsia="华文细黑" w:cs="华文细黑"/>
          <w:szCs w:val="21"/>
        </w:rPr>
      </w:pPr>
      <w:r>
        <w:rPr>
          <w:rFonts w:hint="eastAsia" w:ascii="华文细黑" w:hAnsi="华文细黑" w:eastAsia="华文细黑" w:cs="华文细黑"/>
          <w:szCs w:val="21"/>
        </w:rPr>
        <w:t>◆对项目需求部分的询问、质疑请向采购人提出，询问、质疑由采购人负责解释。</w:t>
      </w:r>
    </w:p>
    <w:p w14:paraId="0EE7AEEA">
      <w:pPr>
        <w:outlineLvl w:val="4"/>
        <w:rPr>
          <w:rFonts w:hint="eastAsia" w:ascii="华文细黑" w:hAnsi="华文细黑" w:eastAsia="华文细黑" w:cs="华文细黑"/>
          <w:b/>
          <w:szCs w:val="21"/>
        </w:rPr>
      </w:pPr>
      <w:r>
        <w:rPr>
          <w:rFonts w:hint="eastAsia" w:ascii="华文细黑" w:hAnsi="华文细黑" w:eastAsia="华文细黑" w:cs="华文细黑"/>
          <w:szCs w:val="21"/>
        </w:rPr>
        <w:t>标注“</w:t>
      </w:r>
      <w:r>
        <w:rPr>
          <w:rFonts w:hint="eastAsia" w:ascii="华文细黑" w:hAnsi="华文细黑" w:eastAsia="华文细黑" w:cs="华文细黑"/>
          <w:szCs w:val="21"/>
          <w:lang w:val="zh-CN"/>
        </w:rPr>
        <w:t>★</w:t>
      </w:r>
      <w:r>
        <w:rPr>
          <w:rFonts w:hint="eastAsia" w:ascii="华文细黑" w:hAnsi="华文细黑" w:eastAsia="华文细黑" w:cs="华文细黑"/>
          <w:szCs w:val="21"/>
        </w:rPr>
        <w:t>”为实质性要求，必须响应，不允许负偏离，否则作为无效投标处理。</w:t>
      </w:r>
    </w:p>
    <w:p w14:paraId="2D754AB4">
      <w:pPr>
        <w:outlineLvl w:val="4"/>
        <w:rPr>
          <w:rFonts w:hint="eastAsia" w:ascii="华文细黑" w:hAnsi="华文细黑" w:eastAsia="华文细黑" w:cs="华文细黑"/>
          <w:b/>
          <w:szCs w:val="21"/>
        </w:rPr>
      </w:pPr>
    </w:p>
    <w:p w14:paraId="2430226D">
      <w:pPr>
        <w:numPr>
          <w:ilvl w:val="0"/>
          <w:numId w:val="0"/>
        </w:numPr>
        <w:rPr>
          <w:rFonts w:hint="eastAsia" w:ascii="华文细黑" w:hAnsi="华文细黑" w:eastAsia="华文细黑" w:cs="华文细黑"/>
          <w:lang w:val="en-US" w:eastAsia="zh-CN"/>
        </w:rPr>
      </w:pPr>
    </w:p>
    <w:p w14:paraId="5C77FE26">
      <w:pPr>
        <w:numPr>
          <w:ilvl w:val="0"/>
          <w:numId w:val="3"/>
        </w:numPr>
        <w:rPr>
          <w:rFonts w:hint="eastAsia" w:ascii="华文细黑" w:hAnsi="华文细黑" w:eastAsia="华文细黑" w:cs="华文细黑"/>
          <w:b/>
          <w:bCs/>
          <w:sz w:val="24"/>
          <w:szCs w:val="24"/>
          <w:lang w:val="en-US" w:eastAsia="zh-CN"/>
        </w:rPr>
      </w:pPr>
      <w:r>
        <w:rPr>
          <w:rFonts w:hint="eastAsia" w:ascii="华文细黑" w:hAnsi="华文细黑" w:eastAsia="华文细黑" w:cs="华文细黑"/>
          <w:b/>
          <w:bCs/>
          <w:sz w:val="24"/>
          <w:szCs w:val="24"/>
          <w:lang w:val="en-US" w:eastAsia="zh-CN"/>
        </w:rPr>
        <w:t>评分细则</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135"/>
        <w:gridCol w:w="6602"/>
      </w:tblGrid>
      <w:tr w14:paraId="69D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14:paraId="5D15A9DE">
            <w:pPr>
              <w:adjustRightInd w:val="0"/>
              <w:snapToGrid w:val="0"/>
              <w:spacing w:line="360" w:lineRule="auto"/>
              <w:jc w:val="center"/>
              <w:rPr>
                <w:rFonts w:hint="eastAsia" w:ascii="华文细黑" w:hAnsi="华文细黑" w:eastAsia="华文细黑" w:cs="华文细黑"/>
                <w:b/>
                <w:color w:val="000000"/>
                <w:szCs w:val="21"/>
                <w:highlight w:val="none"/>
              </w:rPr>
            </w:pPr>
            <w:r>
              <w:rPr>
                <w:rFonts w:hint="eastAsia" w:ascii="华文细黑" w:hAnsi="华文细黑" w:eastAsia="华文细黑" w:cs="华文细黑"/>
                <w:b/>
                <w:color w:val="000000"/>
                <w:szCs w:val="21"/>
                <w:highlight w:val="none"/>
              </w:rPr>
              <w:t>评标因素</w:t>
            </w:r>
          </w:p>
        </w:tc>
        <w:tc>
          <w:tcPr>
            <w:tcW w:w="1135" w:type="dxa"/>
            <w:tcBorders>
              <w:top w:val="single" w:color="auto" w:sz="4" w:space="0"/>
              <w:left w:val="single" w:color="auto" w:sz="4" w:space="0"/>
              <w:bottom w:val="single" w:color="auto" w:sz="4" w:space="0"/>
              <w:right w:val="single" w:color="auto" w:sz="4" w:space="0"/>
            </w:tcBorders>
            <w:vAlign w:val="center"/>
          </w:tcPr>
          <w:p w14:paraId="632C6172">
            <w:pPr>
              <w:adjustRightInd w:val="0"/>
              <w:snapToGrid w:val="0"/>
              <w:spacing w:line="360" w:lineRule="auto"/>
              <w:jc w:val="center"/>
              <w:rPr>
                <w:rFonts w:hint="eastAsia" w:ascii="华文细黑" w:hAnsi="华文细黑" w:eastAsia="华文细黑" w:cs="华文细黑"/>
                <w:b/>
                <w:color w:val="000000"/>
                <w:szCs w:val="21"/>
                <w:highlight w:val="none"/>
              </w:rPr>
            </w:pPr>
            <w:r>
              <w:rPr>
                <w:rFonts w:hint="eastAsia" w:ascii="华文细黑" w:hAnsi="华文细黑" w:eastAsia="华文细黑" w:cs="华文细黑"/>
                <w:b/>
                <w:color w:val="000000"/>
                <w:szCs w:val="21"/>
                <w:highlight w:val="none"/>
              </w:rPr>
              <w:t>评标因素</w:t>
            </w:r>
          </w:p>
        </w:tc>
        <w:tc>
          <w:tcPr>
            <w:tcW w:w="6602" w:type="dxa"/>
            <w:tcBorders>
              <w:top w:val="single" w:color="auto" w:sz="4" w:space="0"/>
              <w:left w:val="single" w:color="auto" w:sz="4" w:space="0"/>
              <w:bottom w:val="single" w:color="auto" w:sz="4" w:space="0"/>
              <w:right w:val="single" w:color="auto" w:sz="4" w:space="0"/>
            </w:tcBorders>
            <w:vAlign w:val="center"/>
          </w:tcPr>
          <w:p w14:paraId="743DF891">
            <w:pPr>
              <w:pStyle w:val="7"/>
              <w:pBdr>
                <w:bottom w:val="none" w:color="auto" w:sz="0" w:space="0"/>
              </w:pBdr>
              <w:tabs>
                <w:tab w:val="left" w:pos="420"/>
              </w:tabs>
              <w:adjustRightInd w:val="0"/>
              <w:spacing w:line="360" w:lineRule="auto"/>
              <w:ind w:firstLine="480"/>
              <w:rPr>
                <w:rFonts w:hint="eastAsia" w:ascii="华文细黑" w:hAnsi="华文细黑" w:eastAsia="华文细黑" w:cs="华文细黑"/>
                <w:b/>
                <w:color w:val="000000"/>
                <w:sz w:val="21"/>
                <w:szCs w:val="21"/>
                <w:highlight w:val="none"/>
              </w:rPr>
            </w:pPr>
            <w:r>
              <w:rPr>
                <w:rFonts w:hint="eastAsia" w:ascii="华文细黑" w:hAnsi="华文细黑" w:eastAsia="华文细黑" w:cs="华文细黑"/>
                <w:b/>
                <w:color w:val="000000"/>
                <w:sz w:val="21"/>
                <w:szCs w:val="21"/>
                <w:highlight w:val="none"/>
              </w:rPr>
              <w:t>评分标准</w:t>
            </w:r>
          </w:p>
        </w:tc>
      </w:tr>
      <w:tr w14:paraId="6324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331" w:type="dxa"/>
            <w:tcBorders>
              <w:top w:val="single" w:color="auto" w:sz="4" w:space="0"/>
              <w:left w:val="single" w:color="auto" w:sz="4" w:space="0"/>
              <w:right w:val="single" w:color="auto" w:sz="4" w:space="0"/>
            </w:tcBorders>
            <w:vAlign w:val="center"/>
          </w:tcPr>
          <w:p w14:paraId="11755392">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color w:val="000000"/>
                <w:szCs w:val="21"/>
                <w:highlight w:val="none"/>
              </w:rPr>
              <w:t>报价（30分）</w:t>
            </w:r>
          </w:p>
        </w:tc>
        <w:tc>
          <w:tcPr>
            <w:tcW w:w="7737" w:type="dxa"/>
            <w:gridSpan w:val="2"/>
            <w:tcBorders>
              <w:top w:val="single" w:color="auto" w:sz="4" w:space="0"/>
              <w:left w:val="single" w:color="auto" w:sz="4" w:space="0"/>
              <w:bottom w:val="single" w:color="auto" w:sz="4" w:space="0"/>
              <w:right w:val="single" w:color="auto" w:sz="4" w:space="0"/>
            </w:tcBorders>
            <w:vAlign w:val="center"/>
          </w:tcPr>
          <w:p w14:paraId="5F9186EA">
            <w:pPr>
              <w:widowControl/>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综合评分法中的价格分采用低价优先法计算，即满足采购文件要求且报价最低的供应商的价格为基准价，其价格分为满分30分。其他供应商的价格分统一按照下列公式计算：报价得分= (基准价／供应商报价)×30。</w:t>
            </w:r>
          </w:p>
        </w:tc>
      </w:tr>
      <w:tr w14:paraId="54B4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1" w:type="dxa"/>
            <w:vMerge w:val="restart"/>
            <w:tcBorders>
              <w:left w:val="single" w:color="auto" w:sz="4" w:space="0"/>
              <w:right w:val="single" w:color="auto" w:sz="4" w:space="0"/>
            </w:tcBorders>
            <w:vAlign w:val="center"/>
          </w:tcPr>
          <w:p w14:paraId="01D5895F">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技术评分标准（55分）</w:t>
            </w:r>
          </w:p>
        </w:tc>
        <w:tc>
          <w:tcPr>
            <w:tcW w:w="1135" w:type="dxa"/>
            <w:tcBorders>
              <w:top w:val="single" w:color="auto" w:sz="4" w:space="0"/>
              <w:left w:val="single" w:color="auto" w:sz="4" w:space="0"/>
              <w:bottom w:val="single" w:color="auto" w:sz="4" w:space="0"/>
              <w:right w:val="single" w:color="auto" w:sz="4" w:space="0"/>
            </w:tcBorders>
            <w:vAlign w:val="center"/>
          </w:tcPr>
          <w:p w14:paraId="3E7477F5">
            <w:pPr>
              <w:widowControl/>
              <w:adjustRightInd w:val="0"/>
              <w:snapToGrid w:val="0"/>
              <w:spacing w:line="360" w:lineRule="auto"/>
              <w:jc w:val="center"/>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响应情况要求</w:t>
            </w:r>
          </w:p>
          <w:p w14:paraId="6127F4D5">
            <w:pPr>
              <w:widowControl/>
              <w:adjustRightInd w:val="0"/>
              <w:snapToGrid w:val="0"/>
              <w:spacing w:line="360" w:lineRule="auto"/>
              <w:jc w:val="center"/>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w:t>
            </w:r>
            <w:r>
              <w:rPr>
                <w:rFonts w:hint="eastAsia" w:ascii="华文细黑" w:hAnsi="华文细黑" w:eastAsia="华文细黑" w:cs="华文细黑"/>
                <w:spacing w:val="-6"/>
                <w:szCs w:val="21"/>
                <w:highlight w:val="none"/>
                <w:lang w:val="en-US" w:eastAsia="zh-CN"/>
              </w:rPr>
              <w:t>25</w:t>
            </w:r>
            <w:r>
              <w:rPr>
                <w:rFonts w:hint="eastAsia" w:ascii="华文细黑" w:hAnsi="华文细黑" w:eastAsia="华文细黑" w:cs="华文细黑"/>
                <w:spacing w:val="-6"/>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05CA50D8">
            <w:pPr>
              <w:widowControl/>
              <w:adjustRightInd w:val="0"/>
              <w:snapToGrid w:val="0"/>
              <w:spacing w:line="360" w:lineRule="auto"/>
              <w:rPr>
                <w:rFonts w:hint="eastAsia" w:ascii="华文细黑" w:hAnsi="华文细黑" w:eastAsia="华文细黑" w:cs="华文细黑"/>
                <w:spacing w:val="-6"/>
                <w:szCs w:val="21"/>
                <w:highlight w:val="none"/>
              </w:rPr>
            </w:pPr>
            <w:r>
              <w:rPr>
                <w:rFonts w:hint="eastAsia" w:ascii="华文细黑" w:hAnsi="华文细黑" w:eastAsia="华文细黑" w:cs="华文细黑"/>
                <w:spacing w:val="-6"/>
                <w:szCs w:val="21"/>
                <w:highlight w:val="none"/>
              </w:rPr>
              <w:t>根据投标人的投标文件中产品情况、《技术和服务要求响应偏离表》、《商务响应偏离表》等有关资料打分。完全满足招标文件中商务和技术参数要求的得</w:t>
            </w:r>
            <w:r>
              <w:rPr>
                <w:rFonts w:hint="eastAsia" w:ascii="华文细黑" w:hAnsi="华文细黑" w:eastAsia="华文细黑" w:cs="华文细黑"/>
                <w:spacing w:val="-6"/>
                <w:szCs w:val="21"/>
                <w:highlight w:val="none"/>
                <w:lang w:val="en-US" w:eastAsia="zh-CN"/>
              </w:rPr>
              <w:t>25</w:t>
            </w:r>
            <w:r>
              <w:rPr>
                <w:rFonts w:hint="eastAsia" w:ascii="华文细黑" w:hAnsi="华文细黑" w:eastAsia="华文细黑" w:cs="华文细黑"/>
                <w:spacing w:val="-6"/>
                <w:szCs w:val="21"/>
                <w:highlight w:val="none"/>
              </w:rPr>
              <w:t>分，招标文件中标“★”的功能和技术参数必须满足要求，不得出现负偏离、否则视为无效投标。非★号指标，有一项负偏离扣2分，扣完为止。</w:t>
            </w:r>
          </w:p>
        </w:tc>
      </w:tr>
      <w:tr w14:paraId="520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62F7190A">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0C3C0CE">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功能要求</w:t>
            </w:r>
          </w:p>
          <w:p w14:paraId="1733DAB7">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（15分）</w:t>
            </w:r>
          </w:p>
        </w:tc>
        <w:tc>
          <w:tcPr>
            <w:tcW w:w="6602" w:type="dxa"/>
            <w:tcBorders>
              <w:top w:val="single" w:color="auto" w:sz="4" w:space="0"/>
              <w:left w:val="single" w:color="auto" w:sz="4" w:space="0"/>
              <w:bottom w:val="single" w:color="auto" w:sz="4" w:space="0"/>
              <w:right w:val="single" w:color="auto" w:sz="4" w:space="0"/>
            </w:tcBorders>
            <w:vAlign w:val="center"/>
          </w:tcPr>
          <w:p w14:paraId="7CDAB258">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spacing w:val="-6"/>
                <w:szCs w:val="21"/>
                <w:highlight w:val="none"/>
              </w:rPr>
              <w:t>1、投标产品确保对各种非常规指令操作100%识别，特别是TAB补全、长命令的行内编辑、上下箭头等操作；（此条为堡垒机的重要功能，</w:t>
            </w:r>
            <w:r>
              <w:rPr>
                <w:rFonts w:hint="eastAsia" w:ascii="华文细黑" w:hAnsi="华文细黑" w:eastAsia="华文细黑" w:cs="华文细黑"/>
                <w:spacing w:val="-6"/>
                <w:szCs w:val="21"/>
                <w:highlight w:val="none"/>
                <w:lang w:val="en-US" w:eastAsia="zh-CN"/>
              </w:rPr>
              <w:t>投标人</w:t>
            </w:r>
            <w:r>
              <w:rPr>
                <w:rFonts w:hint="eastAsia" w:ascii="华文细黑" w:hAnsi="华文细黑" w:eastAsia="华文细黑" w:cs="华文细黑"/>
                <w:spacing w:val="-6"/>
                <w:szCs w:val="21"/>
                <w:highlight w:val="none"/>
              </w:rPr>
              <w:t>具有能够体现可以获取终端命令访问过程的能力，提供权威机构颁发的证明文件加盖公章证明；有实际部署案例证明命令识别的准确性，提供用户使用报告）</w:t>
            </w:r>
            <w:r>
              <w:rPr>
                <w:rFonts w:hint="eastAsia" w:ascii="华文细黑" w:hAnsi="华文细黑" w:eastAsia="华文细黑" w:cs="华文细黑"/>
                <w:kern w:val="0"/>
                <w:szCs w:val="21"/>
                <w:highlight w:val="none"/>
              </w:rPr>
              <w:t>。证明文件、功能截图和使用报告</w:t>
            </w:r>
            <w:r>
              <w:rPr>
                <w:rFonts w:hint="eastAsia" w:ascii="华文细黑" w:hAnsi="华文细黑" w:eastAsia="华文细黑" w:cs="华文细黑"/>
                <w:szCs w:val="21"/>
                <w:highlight w:val="none"/>
              </w:rPr>
              <w:t>每提供1项材料得2分，最高得6分</w:t>
            </w:r>
            <w:r>
              <w:rPr>
                <w:rFonts w:hint="eastAsia" w:ascii="华文细黑" w:hAnsi="华文细黑" w:eastAsia="华文细黑" w:cs="华文细黑"/>
                <w:kern w:val="0"/>
                <w:szCs w:val="21"/>
                <w:highlight w:val="none"/>
              </w:rPr>
              <w:t>。</w:t>
            </w:r>
          </w:p>
          <w:p w14:paraId="628D04CB">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spacing w:val="-6"/>
                <w:szCs w:val="21"/>
                <w:highlight w:val="none"/>
              </w:rPr>
              <w:t>2、可以根据任意sql语句中的内容为关键字进行会话查询，查询结果可直接定位到相关操作画面；</w:t>
            </w:r>
            <w:r>
              <w:rPr>
                <w:rFonts w:hint="eastAsia" w:ascii="华文细黑" w:hAnsi="华文细黑" w:eastAsia="华文细黑" w:cs="华文细黑"/>
                <w:spacing w:val="-6"/>
                <w:szCs w:val="21"/>
                <w:highlight w:val="none"/>
                <w:lang w:val="en-US" w:eastAsia="zh-CN"/>
              </w:rPr>
              <w:t>投标人</w:t>
            </w:r>
            <w:r>
              <w:rPr>
                <w:rFonts w:hint="eastAsia" w:ascii="华文细黑" w:hAnsi="华文细黑" w:eastAsia="华文细黑" w:cs="华文细黑"/>
                <w:spacing w:val="-6"/>
                <w:szCs w:val="21"/>
                <w:highlight w:val="none"/>
              </w:rPr>
              <w:t>具备数据库访问过程的获取技术能力证明，提供权威机构颁发的证明材料，加盖公章证明。</w:t>
            </w:r>
            <w:r>
              <w:rPr>
                <w:rFonts w:hint="eastAsia" w:ascii="华文细黑" w:hAnsi="华文细黑" w:eastAsia="华文细黑" w:cs="华文细黑"/>
                <w:kern w:val="0"/>
                <w:szCs w:val="21"/>
                <w:highlight w:val="none"/>
              </w:rPr>
              <w:t>证明文件和功能截图</w:t>
            </w:r>
            <w:r>
              <w:rPr>
                <w:rFonts w:hint="eastAsia" w:ascii="华文细黑" w:hAnsi="华文细黑" w:eastAsia="华文细黑" w:cs="华文细黑"/>
                <w:szCs w:val="21"/>
                <w:highlight w:val="none"/>
              </w:rPr>
              <w:t>每提供1项材料得2分，最高得4分</w:t>
            </w:r>
            <w:r>
              <w:rPr>
                <w:rFonts w:hint="eastAsia" w:ascii="华文细黑" w:hAnsi="华文细黑" w:eastAsia="华文细黑" w:cs="华文细黑"/>
                <w:kern w:val="0"/>
                <w:szCs w:val="21"/>
                <w:highlight w:val="none"/>
              </w:rPr>
              <w:t>。</w:t>
            </w:r>
          </w:p>
          <w:p w14:paraId="576EC134">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3、</w:t>
            </w:r>
            <w:r>
              <w:rPr>
                <w:rFonts w:hint="eastAsia" w:ascii="华文细黑" w:hAnsi="华文细黑" w:eastAsia="华文细黑" w:cs="华文细黑"/>
                <w:spacing w:val="-6"/>
                <w:szCs w:val="21"/>
                <w:highlight w:val="none"/>
              </w:rPr>
              <w:t>所投堡垒机产品与医院原有堡垒机系统可以联动调试，确保运维数据无缝迁移至新堡垒机系统。要求投标产品和原有堡垒机系统具有良好的兼容性，提供堡垒机厂家兼容证明。提供堡垒机厂家加盖公章证明文件得5分。</w:t>
            </w:r>
          </w:p>
        </w:tc>
      </w:tr>
      <w:tr w14:paraId="151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3375616F">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D372C79">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color w:val="000000"/>
                <w:szCs w:val="21"/>
                <w:highlight w:val="none"/>
              </w:rPr>
              <w:t>实施方案</w:t>
            </w:r>
          </w:p>
          <w:p w14:paraId="67102150">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zCs w:val="21"/>
                <w:highlight w:val="none"/>
              </w:rPr>
              <w:t>（</w:t>
            </w:r>
            <w:r>
              <w:rPr>
                <w:rFonts w:hint="eastAsia" w:ascii="华文细黑" w:hAnsi="华文细黑" w:eastAsia="华文细黑" w:cs="华文细黑"/>
                <w:color w:val="000000"/>
                <w:szCs w:val="21"/>
                <w:highlight w:val="none"/>
                <w:lang w:val="en-US" w:eastAsia="zh-CN"/>
              </w:rPr>
              <w:t>6</w:t>
            </w:r>
            <w:r>
              <w:rPr>
                <w:rFonts w:hint="eastAsia" w:ascii="华文细黑" w:hAnsi="华文细黑" w:eastAsia="华文细黑" w:cs="华文细黑"/>
                <w:color w:val="000000"/>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2599FC58">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项目实施总体方案的完整性、合理性。</w:t>
            </w:r>
            <w:r>
              <w:rPr>
                <w:rFonts w:hint="eastAsia" w:ascii="华文细黑" w:hAnsi="华文细黑" w:eastAsia="华文细黑" w:cs="华文细黑"/>
                <w:kern w:val="0"/>
                <w:szCs w:val="21"/>
                <w:highlight w:val="none"/>
                <w:lang w:val="en-US" w:eastAsia="zh-CN"/>
              </w:rPr>
              <w:t>对</w:t>
            </w:r>
            <w:r>
              <w:rPr>
                <w:rFonts w:hint="eastAsia" w:ascii="华文细黑" w:hAnsi="华文细黑" w:eastAsia="华文细黑" w:cs="华文细黑"/>
                <w:kern w:val="0"/>
                <w:szCs w:val="21"/>
                <w:highlight w:val="none"/>
              </w:rPr>
              <w:t>实施计划、项目进度管理、突发事件处置方案</w:t>
            </w:r>
            <w:r>
              <w:rPr>
                <w:rFonts w:hint="eastAsia" w:ascii="华文细黑" w:hAnsi="华文细黑" w:eastAsia="华文细黑" w:cs="华文细黑"/>
                <w:kern w:val="0"/>
                <w:szCs w:val="21"/>
                <w:highlight w:val="none"/>
                <w:lang w:val="en-US" w:eastAsia="zh-CN"/>
              </w:rPr>
              <w:t>进行</w:t>
            </w:r>
            <w:r>
              <w:rPr>
                <w:rFonts w:hint="eastAsia" w:ascii="华文细黑" w:hAnsi="华文细黑" w:eastAsia="华文细黑" w:cs="华文细黑"/>
                <w:kern w:val="0"/>
                <w:szCs w:val="21"/>
                <w:highlight w:val="none"/>
              </w:rPr>
              <w:t>综合评价。</w:t>
            </w:r>
          </w:p>
          <w:p w14:paraId="6CA308F0">
            <w:pPr>
              <w:adjustRightInd w:val="0"/>
              <w:snapToGrid w:val="0"/>
              <w:spacing w:line="360" w:lineRule="auto"/>
              <w:rPr>
                <w:rFonts w:hint="eastAsia" w:ascii="华文细黑" w:hAnsi="华文细黑" w:eastAsia="华文细黑" w:cs="华文细黑"/>
                <w:spacing w:val="-6"/>
                <w:szCs w:val="21"/>
                <w:highlight w:val="none"/>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6</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lang w:val="zh-CN"/>
              </w:rPr>
              <w:t>分，每项内容中有一处瑕疵的扣0.5分，每项最多扣1分。</w:t>
            </w:r>
          </w:p>
        </w:tc>
      </w:tr>
      <w:tr w14:paraId="458D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72FEED05">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56FEA3E">
            <w:pPr>
              <w:adjustRightInd w:val="0"/>
              <w:snapToGrid w:val="0"/>
              <w:spacing w:line="360" w:lineRule="auto"/>
              <w:jc w:val="center"/>
              <w:rPr>
                <w:rFonts w:hint="eastAsia" w:ascii="华文细黑" w:hAnsi="华文细黑" w:eastAsia="华文细黑" w:cs="华文细黑"/>
                <w:color w:val="000000"/>
                <w:szCs w:val="21"/>
                <w:highlight w:val="none"/>
                <w:lang w:val="en-US" w:eastAsia="zh-CN"/>
              </w:rPr>
            </w:pPr>
            <w:r>
              <w:rPr>
                <w:rFonts w:hint="eastAsia" w:ascii="华文细黑" w:hAnsi="华文细黑" w:eastAsia="华文细黑" w:cs="华文细黑"/>
                <w:color w:val="000000"/>
                <w:szCs w:val="21"/>
                <w:highlight w:val="none"/>
                <w:lang w:val="en-US" w:eastAsia="zh-CN"/>
              </w:rPr>
              <w:t>迁移方案</w:t>
            </w:r>
          </w:p>
          <w:p w14:paraId="20FA627E">
            <w:pPr>
              <w:adjustRightInd w:val="0"/>
              <w:snapToGrid w:val="0"/>
              <w:spacing w:line="360" w:lineRule="auto"/>
              <w:jc w:val="center"/>
              <w:rPr>
                <w:rFonts w:hint="default" w:ascii="华文细黑" w:hAnsi="华文细黑" w:eastAsia="华文细黑" w:cs="华文细黑"/>
                <w:color w:val="000000"/>
                <w:szCs w:val="21"/>
                <w:highlight w:val="none"/>
                <w:lang w:val="en-US" w:eastAsia="zh-CN"/>
              </w:rPr>
            </w:pPr>
            <w:r>
              <w:rPr>
                <w:rFonts w:hint="eastAsia" w:ascii="华文细黑" w:hAnsi="华文细黑" w:eastAsia="华文细黑" w:cs="华文细黑"/>
                <w:color w:val="000000"/>
                <w:szCs w:val="21"/>
                <w:highlight w:val="none"/>
                <w:lang w:val="en-US" w:eastAsia="zh-CN"/>
              </w:rPr>
              <w:t>（6分）</w:t>
            </w:r>
          </w:p>
        </w:tc>
        <w:tc>
          <w:tcPr>
            <w:tcW w:w="6602" w:type="dxa"/>
            <w:tcBorders>
              <w:top w:val="single" w:color="auto" w:sz="4" w:space="0"/>
              <w:left w:val="single" w:color="auto" w:sz="4" w:space="0"/>
              <w:bottom w:val="single" w:color="auto" w:sz="4" w:space="0"/>
              <w:right w:val="single" w:color="auto" w:sz="4" w:space="0"/>
            </w:tcBorders>
            <w:vAlign w:val="center"/>
          </w:tcPr>
          <w:p w14:paraId="1400E3C0">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lang w:val="en-US" w:eastAsia="zh-CN"/>
              </w:rPr>
              <w:t>针对原内网堡垒机迁移至外网使用提供完善的迁移技术方案，对配置数据迁移、系统版本升级、设备IP授权进行</w:t>
            </w:r>
            <w:r>
              <w:rPr>
                <w:rFonts w:hint="eastAsia" w:ascii="华文细黑" w:hAnsi="华文细黑" w:eastAsia="华文细黑" w:cs="华文细黑"/>
                <w:kern w:val="0"/>
                <w:szCs w:val="21"/>
                <w:highlight w:val="none"/>
              </w:rPr>
              <w:t>综合评价。</w:t>
            </w:r>
          </w:p>
          <w:p w14:paraId="2C5AC40E">
            <w:pPr>
              <w:adjustRightInd w:val="0"/>
              <w:snapToGrid w:val="0"/>
              <w:spacing w:line="360" w:lineRule="auto"/>
              <w:rPr>
                <w:rFonts w:hint="default" w:ascii="华文细黑" w:hAnsi="华文细黑" w:eastAsia="华文细黑" w:cs="华文细黑"/>
                <w:kern w:val="0"/>
                <w:szCs w:val="21"/>
                <w:highlight w:val="none"/>
                <w:lang w:val="en-US" w:eastAsia="zh-CN"/>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6</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lang w:val="zh-CN"/>
              </w:rPr>
              <w:t>分，每项内容中有一处瑕疵的扣0.5分，每项最多扣1分。</w:t>
            </w:r>
          </w:p>
        </w:tc>
      </w:tr>
      <w:tr w14:paraId="535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01D9A466">
            <w:pPr>
              <w:adjustRightInd w:val="0"/>
              <w:snapToGrid w:val="0"/>
              <w:spacing w:line="360" w:lineRule="auto"/>
              <w:rPr>
                <w:rFonts w:hint="eastAsia" w:ascii="华文细黑" w:hAnsi="华文细黑" w:eastAsia="华文细黑" w:cs="华文细黑"/>
                <w:color w:val="00000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1945003">
            <w:pPr>
              <w:adjustRightInd w:val="0"/>
              <w:snapToGrid w:val="0"/>
              <w:spacing w:line="360" w:lineRule="auto"/>
              <w:jc w:val="center"/>
              <w:rPr>
                <w:rFonts w:hint="eastAsia" w:ascii="华文细黑" w:hAnsi="华文细黑" w:eastAsia="华文细黑" w:cs="华文细黑"/>
                <w:bCs/>
                <w:kern w:val="0"/>
                <w:szCs w:val="21"/>
                <w:highlight w:val="none"/>
              </w:rPr>
            </w:pPr>
            <w:r>
              <w:rPr>
                <w:rFonts w:hint="eastAsia" w:ascii="华文细黑" w:hAnsi="华文细黑" w:eastAsia="华文细黑" w:cs="华文细黑"/>
                <w:bCs/>
                <w:kern w:val="0"/>
                <w:szCs w:val="21"/>
                <w:highlight w:val="none"/>
              </w:rPr>
              <w:t>售后服务</w:t>
            </w:r>
          </w:p>
          <w:p w14:paraId="689AC78E">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bCs/>
                <w:kern w:val="0"/>
                <w:szCs w:val="21"/>
                <w:highlight w:val="none"/>
              </w:rPr>
              <w:t>（</w:t>
            </w:r>
            <w:r>
              <w:rPr>
                <w:rFonts w:hint="eastAsia" w:ascii="华文细黑" w:hAnsi="华文细黑" w:eastAsia="华文细黑" w:cs="华文细黑"/>
                <w:bCs/>
                <w:kern w:val="0"/>
                <w:szCs w:val="21"/>
                <w:highlight w:val="none"/>
                <w:lang w:val="en-US" w:eastAsia="zh-CN"/>
              </w:rPr>
              <w:t>3</w:t>
            </w:r>
            <w:r>
              <w:rPr>
                <w:rFonts w:hint="eastAsia" w:ascii="华文细黑" w:hAnsi="华文细黑" w:eastAsia="华文细黑" w:cs="华文细黑"/>
                <w:bCs/>
                <w:kern w:val="0"/>
                <w:szCs w:val="21"/>
                <w:highlight w:val="none"/>
              </w:rPr>
              <w:t>分）</w:t>
            </w:r>
          </w:p>
        </w:tc>
        <w:tc>
          <w:tcPr>
            <w:tcW w:w="6602" w:type="dxa"/>
            <w:tcBorders>
              <w:top w:val="single" w:color="auto" w:sz="4" w:space="0"/>
              <w:left w:val="single" w:color="auto" w:sz="4" w:space="0"/>
              <w:bottom w:val="single" w:color="auto" w:sz="4" w:space="0"/>
              <w:right w:val="single" w:color="auto" w:sz="4" w:space="0"/>
            </w:tcBorders>
            <w:vAlign w:val="center"/>
          </w:tcPr>
          <w:p w14:paraId="7F95331A">
            <w:pPr>
              <w:adjustRightInd w:val="0"/>
              <w:snapToGrid w:val="0"/>
              <w:spacing w:line="360" w:lineRule="auto"/>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rPr>
              <w:t>针对本项目提供的售后服务内容</w:t>
            </w:r>
            <w:r>
              <w:rPr>
                <w:rFonts w:hint="eastAsia" w:ascii="华文细黑" w:hAnsi="华文细黑" w:eastAsia="华文细黑" w:cs="华文细黑"/>
                <w:kern w:val="0"/>
                <w:szCs w:val="21"/>
                <w:highlight w:val="none"/>
                <w:lang w:eastAsia="zh-CN"/>
              </w:rPr>
              <w:t>、</w:t>
            </w:r>
            <w:r>
              <w:rPr>
                <w:rFonts w:hint="eastAsia" w:ascii="华文细黑" w:hAnsi="华文细黑" w:eastAsia="华文细黑" w:cs="华文细黑"/>
                <w:kern w:val="0"/>
                <w:szCs w:val="21"/>
                <w:highlight w:val="none"/>
              </w:rPr>
              <w:t>服务团队的人员数量、组成结构</w:t>
            </w:r>
            <w:r>
              <w:rPr>
                <w:rFonts w:hint="eastAsia" w:ascii="华文细黑" w:hAnsi="华文细黑" w:eastAsia="华文细黑" w:cs="华文细黑"/>
                <w:kern w:val="0"/>
                <w:szCs w:val="21"/>
                <w:highlight w:val="none"/>
                <w:lang w:val="en-US" w:eastAsia="zh-CN"/>
              </w:rPr>
              <w:t>进行</w:t>
            </w:r>
            <w:r>
              <w:rPr>
                <w:rFonts w:hint="eastAsia" w:ascii="华文细黑" w:hAnsi="华文细黑" w:eastAsia="华文细黑" w:cs="华文细黑"/>
                <w:kern w:val="0"/>
                <w:szCs w:val="21"/>
                <w:highlight w:val="none"/>
              </w:rPr>
              <w:t>综合评价。</w:t>
            </w:r>
          </w:p>
          <w:p w14:paraId="4E5B1C53">
            <w:pPr>
              <w:adjustRightInd w:val="0"/>
              <w:snapToGrid w:val="0"/>
              <w:spacing w:line="360" w:lineRule="auto"/>
              <w:rPr>
                <w:rFonts w:hint="eastAsia" w:ascii="华文细黑" w:hAnsi="华文细黑" w:eastAsia="华文细黑" w:cs="华文细黑"/>
                <w:color w:val="000000"/>
                <w:szCs w:val="21"/>
                <w:highlight w:val="none"/>
              </w:rPr>
            </w:pPr>
            <w:r>
              <w:rPr>
                <w:rFonts w:hint="eastAsia" w:ascii="华文细黑" w:hAnsi="华文细黑" w:eastAsia="华文细黑" w:cs="华文细黑"/>
                <w:szCs w:val="21"/>
                <w:lang w:val="zh-CN"/>
              </w:rPr>
              <w:t>以上</w:t>
            </w:r>
            <w:r>
              <w:rPr>
                <w:rFonts w:hint="eastAsia" w:ascii="华文细黑" w:hAnsi="华文细黑" w:eastAsia="华文细黑" w:cs="华文细黑"/>
                <w:szCs w:val="21"/>
                <w:lang w:val="en-US" w:eastAsia="zh-CN"/>
              </w:rPr>
              <w:t>三</w:t>
            </w:r>
            <w:r>
              <w:rPr>
                <w:rFonts w:hint="eastAsia" w:ascii="华文细黑" w:hAnsi="华文细黑" w:eastAsia="华文细黑" w:cs="华文细黑"/>
                <w:szCs w:val="21"/>
                <w:lang w:val="zh-CN"/>
              </w:rPr>
              <w:t>项内容无缺项得</w:t>
            </w: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lang w:val="zh-CN"/>
              </w:rPr>
              <w:t>分，每缺一项扣</w:t>
            </w:r>
            <w:r>
              <w:rPr>
                <w:rFonts w:hint="eastAsia" w:ascii="华文细黑" w:hAnsi="华文细黑" w:eastAsia="华文细黑" w:cs="华文细黑"/>
                <w:szCs w:val="21"/>
                <w:lang w:val="en-US" w:eastAsia="zh-CN"/>
              </w:rPr>
              <w:t>1</w:t>
            </w:r>
            <w:r>
              <w:rPr>
                <w:rFonts w:hint="eastAsia" w:ascii="华文细黑" w:hAnsi="华文细黑" w:eastAsia="华文细黑" w:cs="华文细黑"/>
                <w:szCs w:val="21"/>
                <w:lang w:val="zh-CN"/>
              </w:rPr>
              <w:t>分，每项内容中有一处瑕疵的扣0.5分，每项最多扣</w:t>
            </w:r>
            <w:r>
              <w:rPr>
                <w:rFonts w:hint="eastAsia" w:ascii="华文细黑" w:hAnsi="华文细黑" w:eastAsia="华文细黑" w:cs="华文细黑"/>
                <w:szCs w:val="21"/>
                <w:lang w:val="en-US" w:eastAsia="zh-CN"/>
              </w:rPr>
              <w:t>0.5</w:t>
            </w:r>
            <w:r>
              <w:rPr>
                <w:rFonts w:hint="eastAsia" w:ascii="华文细黑" w:hAnsi="华文细黑" w:eastAsia="华文细黑" w:cs="华文细黑"/>
                <w:szCs w:val="21"/>
                <w:lang w:val="zh-CN"/>
              </w:rPr>
              <w:t>分。</w:t>
            </w:r>
          </w:p>
        </w:tc>
      </w:tr>
      <w:tr w14:paraId="438C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restart"/>
            <w:tcBorders>
              <w:left w:val="single" w:color="auto" w:sz="4" w:space="0"/>
              <w:right w:val="single" w:color="auto" w:sz="4" w:space="0"/>
            </w:tcBorders>
            <w:vAlign w:val="center"/>
          </w:tcPr>
          <w:p w14:paraId="41346C17">
            <w:pPr>
              <w:adjustRightInd w:val="0"/>
              <w:snapToGrid w:val="0"/>
              <w:spacing w:line="360" w:lineRule="auto"/>
              <w:jc w:val="center"/>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商务评分标准（15分）</w:t>
            </w:r>
          </w:p>
        </w:tc>
        <w:tc>
          <w:tcPr>
            <w:tcW w:w="1135" w:type="dxa"/>
            <w:tcBorders>
              <w:top w:val="single" w:color="auto" w:sz="4" w:space="0"/>
              <w:left w:val="single" w:color="auto" w:sz="4" w:space="0"/>
              <w:bottom w:val="single" w:color="auto" w:sz="4" w:space="0"/>
              <w:right w:val="single" w:color="auto" w:sz="4" w:space="0"/>
            </w:tcBorders>
            <w:vAlign w:val="center"/>
          </w:tcPr>
          <w:p w14:paraId="29CD93A6">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业绩案例</w:t>
            </w:r>
          </w:p>
          <w:p w14:paraId="135F667A">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spacing w:val="-6"/>
                <w:szCs w:val="21"/>
                <w:highlight w:val="none"/>
              </w:rPr>
              <w:t>（9分）</w:t>
            </w:r>
          </w:p>
        </w:tc>
        <w:tc>
          <w:tcPr>
            <w:tcW w:w="6602" w:type="dxa"/>
            <w:tcBorders>
              <w:top w:val="single" w:color="auto" w:sz="4" w:space="0"/>
              <w:left w:val="single" w:color="auto" w:sz="4" w:space="0"/>
              <w:bottom w:val="single" w:color="auto" w:sz="4" w:space="0"/>
              <w:right w:val="single" w:color="auto" w:sz="4" w:space="0"/>
            </w:tcBorders>
            <w:vAlign w:val="center"/>
          </w:tcPr>
          <w:p w14:paraId="27A7BABF">
            <w:pPr>
              <w:adjustRightInd w:val="0"/>
              <w:snapToGrid w:val="0"/>
              <w:spacing w:line="360" w:lineRule="auto"/>
              <w:jc w:val="left"/>
              <w:rPr>
                <w:rFonts w:hint="eastAsia" w:ascii="华文细黑" w:hAnsi="华文细黑" w:eastAsia="华文细黑" w:cs="华文细黑"/>
                <w:color w:val="000000"/>
                <w:szCs w:val="21"/>
                <w:highlight w:val="none"/>
              </w:rPr>
            </w:pPr>
            <w:r>
              <w:rPr>
                <w:rFonts w:hint="eastAsia" w:ascii="华文细黑" w:hAnsi="华文细黑" w:eastAsia="华文细黑" w:cs="华文细黑"/>
                <w:kern w:val="0"/>
                <w:szCs w:val="21"/>
                <w:highlight w:val="none"/>
              </w:rPr>
              <w:t>1、所投品牌同类产品近三年在医疗行业</w:t>
            </w:r>
            <w:r>
              <w:rPr>
                <w:rFonts w:hint="eastAsia" w:ascii="华文细黑" w:hAnsi="华文细黑" w:eastAsia="华文细黑" w:cs="华文细黑"/>
                <w:color w:val="000000"/>
                <w:szCs w:val="21"/>
                <w:highlight w:val="none"/>
              </w:rPr>
              <w:t>的销售业绩案例。每提供1份有效合同得2分，最高得6分。</w:t>
            </w:r>
          </w:p>
          <w:p w14:paraId="44A1046E">
            <w:pPr>
              <w:adjustRightInd w:val="0"/>
              <w:snapToGrid w:val="0"/>
              <w:spacing w:line="360" w:lineRule="auto"/>
              <w:jc w:val="left"/>
              <w:rPr>
                <w:rFonts w:hint="eastAsia" w:ascii="华文细黑" w:hAnsi="华文细黑" w:eastAsia="华文细黑" w:cs="华文细黑"/>
                <w:color w:val="000000" w:themeColor="text1"/>
                <w:szCs w:val="21"/>
                <w:highlight w:val="none"/>
                <w14:textFill>
                  <w14:solidFill>
                    <w14:schemeClr w14:val="tx1"/>
                  </w14:solidFill>
                </w14:textFill>
              </w:rPr>
            </w:pPr>
            <w:r>
              <w:rPr>
                <w:rFonts w:hint="eastAsia" w:ascii="华文细黑" w:hAnsi="华文细黑" w:eastAsia="华文细黑" w:cs="华文细黑"/>
                <w:color w:val="000000" w:themeColor="text1"/>
                <w:szCs w:val="21"/>
                <w:highlight w:val="none"/>
                <w14:textFill>
                  <w14:solidFill>
                    <w14:schemeClr w14:val="tx1"/>
                  </w14:solidFill>
                </w14:textFill>
              </w:rPr>
              <w:t>2</w:t>
            </w:r>
            <w:r>
              <w:rPr>
                <w:rFonts w:hint="eastAsia" w:ascii="华文细黑" w:hAnsi="华文细黑" w:eastAsia="华文细黑" w:cs="华文细黑"/>
                <w:color w:val="000000" w:themeColor="text1"/>
                <w:szCs w:val="21"/>
                <w:highlight w:val="none"/>
                <w:lang w:eastAsia="zh-CN"/>
                <w14:textFill>
                  <w14:solidFill>
                    <w14:schemeClr w14:val="tx1"/>
                  </w14:solidFill>
                </w14:textFill>
              </w:rPr>
              <w:t>、</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提供1份</w:t>
            </w:r>
            <w:r>
              <w:rPr>
                <w:rFonts w:hint="eastAsia" w:ascii="华文细黑" w:hAnsi="华文细黑" w:eastAsia="华文细黑" w:cs="华文细黑"/>
                <w:color w:val="000000" w:themeColor="text1"/>
                <w:szCs w:val="21"/>
                <w:highlight w:val="none"/>
                <w14:textFill>
                  <w14:solidFill>
                    <w14:schemeClr w14:val="tx1"/>
                  </w14:solidFill>
                </w14:textFill>
              </w:rPr>
              <w:t>所投产品稳定运行满5年</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成功</w:t>
            </w:r>
            <w:r>
              <w:rPr>
                <w:rFonts w:hint="eastAsia" w:ascii="华文细黑" w:hAnsi="华文细黑" w:eastAsia="华文细黑" w:cs="华文细黑"/>
                <w:color w:val="000000" w:themeColor="text1"/>
                <w:szCs w:val="21"/>
                <w:highlight w:val="none"/>
                <w14:textFill>
                  <w14:solidFill>
                    <w14:schemeClr w14:val="tx1"/>
                  </w14:solidFill>
                </w14:textFill>
              </w:rPr>
              <w:t>案例（</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其中</w:t>
            </w:r>
            <w:r>
              <w:rPr>
                <w:rFonts w:hint="eastAsia" w:ascii="华文细黑" w:hAnsi="华文细黑" w:eastAsia="华文细黑" w:cs="华文细黑"/>
                <w:color w:val="000000" w:themeColor="text1"/>
                <w:szCs w:val="21"/>
                <w:highlight w:val="none"/>
                <w14:textFill>
                  <w14:solidFill>
                    <w14:schemeClr w14:val="tx1"/>
                  </w14:solidFill>
                </w14:textFill>
              </w:rPr>
              <w:t>被管理设备数</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量＞400</w:t>
            </w:r>
            <w:r>
              <w:rPr>
                <w:rFonts w:hint="eastAsia" w:ascii="华文细黑" w:hAnsi="华文细黑" w:eastAsia="华文细黑" w:cs="华文细黑"/>
                <w:color w:val="000000" w:themeColor="text1"/>
                <w:szCs w:val="21"/>
                <w:highlight w:val="none"/>
                <w14:textFill>
                  <w14:solidFill>
                    <w14:schemeClr w14:val="tx1"/>
                  </w14:solidFill>
                </w14:textFill>
              </w:rPr>
              <w:t>台）</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的，</w:t>
            </w:r>
            <w:r>
              <w:rPr>
                <w:rFonts w:hint="eastAsia" w:ascii="华文细黑" w:hAnsi="华文细黑" w:eastAsia="华文细黑" w:cs="华文细黑"/>
                <w:color w:val="000000" w:themeColor="text1"/>
                <w:szCs w:val="21"/>
                <w:highlight w:val="none"/>
                <w14:textFill>
                  <w14:solidFill>
                    <w14:schemeClr w14:val="tx1"/>
                  </w14:solidFill>
                </w14:textFill>
              </w:rPr>
              <w:t>得3分</w:t>
            </w:r>
            <w:r>
              <w:rPr>
                <w:rFonts w:hint="eastAsia" w:ascii="华文细黑" w:hAnsi="华文细黑" w:eastAsia="华文细黑" w:cs="华文细黑"/>
                <w:color w:val="000000" w:themeColor="text1"/>
                <w:szCs w:val="21"/>
                <w:highlight w:val="none"/>
                <w:lang w:eastAsia="zh-CN"/>
                <w14:textFill>
                  <w14:solidFill>
                    <w14:schemeClr w14:val="tx1"/>
                  </w14:solidFill>
                </w14:textFill>
              </w:rPr>
              <w:t>，</w:t>
            </w:r>
            <w:r>
              <w:rPr>
                <w:rFonts w:hint="eastAsia" w:ascii="华文细黑" w:hAnsi="华文细黑" w:eastAsia="华文细黑" w:cs="华文细黑"/>
                <w:color w:val="000000" w:themeColor="text1"/>
                <w:szCs w:val="21"/>
                <w:highlight w:val="none"/>
                <w:lang w:val="en-US" w:eastAsia="zh-CN"/>
                <w14:textFill>
                  <w14:solidFill>
                    <w14:schemeClr w14:val="tx1"/>
                  </w14:solidFill>
                </w14:textFill>
              </w:rPr>
              <w:t>否则不得分</w:t>
            </w:r>
            <w:r>
              <w:rPr>
                <w:rFonts w:hint="eastAsia" w:ascii="华文细黑" w:hAnsi="华文细黑" w:eastAsia="华文细黑" w:cs="华文细黑"/>
                <w:color w:val="000000" w:themeColor="text1"/>
                <w:szCs w:val="21"/>
                <w:highlight w:val="none"/>
                <w14:textFill>
                  <w14:solidFill>
                    <w14:schemeClr w14:val="tx1"/>
                  </w14:solidFill>
                </w14:textFill>
              </w:rPr>
              <w:t>。</w:t>
            </w:r>
          </w:p>
          <w:p w14:paraId="73FA759D">
            <w:pPr>
              <w:adjustRightInd w:val="0"/>
              <w:snapToGrid w:val="0"/>
              <w:spacing w:line="360" w:lineRule="auto"/>
              <w:jc w:val="left"/>
              <w:rPr>
                <w:rFonts w:hint="eastAsia" w:ascii="华文细黑" w:hAnsi="华文细黑" w:eastAsia="华文细黑" w:cs="华文细黑"/>
                <w:spacing w:val="-6"/>
                <w:szCs w:val="21"/>
                <w:highlight w:val="none"/>
              </w:rPr>
            </w:pPr>
            <w:r>
              <w:rPr>
                <w:rFonts w:hint="eastAsia" w:ascii="华文细黑" w:hAnsi="华文细黑" w:eastAsia="华文细黑" w:cs="华文细黑"/>
                <w:color w:val="000000" w:themeColor="text1"/>
                <w:szCs w:val="21"/>
                <w:highlight w:val="none"/>
                <w14:textFill>
                  <w14:solidFill>
                    <w14:schemeClr w14:val="tx1"/>
                  </w14:solidFill>
                </w14:textFill>
              </w:rPr>
              <w:t>（以合同签订时间为准，提供用户合同和盖章的证明材料说明实际管理设备数量）</w:t>
            </w:r>
          </w:p>
        </w:tc>
      </w:tr>
      <w:tr w14:paraId="328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1" w:type="dxa"/>
            <w:vMerge w:val="continue"/>
            <w:tcBorders>
              <w:left w:val="single" w:color="auto" w:sz="4" w:space="0"/>
              <w:right w:val="single" w:color="auto" w:sz="4" w:space="0"/>
            </w:tcBorders>
            <w:vAlign w:val="center"/>
          </w:tcPr>
          <w:p w14:paraId="4D955CDE">
            <w:pPr>
              <w:adjustRightInd w:val="0"/>
              <w:snapToGrid w:val="0"/>
              <w:spacing w:line="360" w:lineRule="auto"/>
              <w:jc w:val="center"/>
              <w:rPr>
                <w:rFonts w:hint="eastAsia" w:ascii="华文细黑" w:hAnsi="华文细黑" w:eastAsia="华文细黑" w:cs="华文细黑"/>
                <w:kern w:val="0"/>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E636E2F">
            <w:pPr>
              <w:adjustRightInd w:val="0"/>
              <w:snapToGrid w:val="0"/>
              <w:spacing w:line="360" w:lineRule="auto"/>
              <w:jc w:val="center"/>
              <w:rPr>
                <w:rFonts w:hint="eastAsia" w:ascii="华文细黑" w:hAnsi="华文细黑" w:eastAsia="华文细黑" w:cs="华文细黑"/>
                <w:color w:val="000000"/>
                <w:highlight w:val="none"/>
              </w:rPr>
            </w:pPr>
            <w:r>
              <w:rPr>
                <w:rFonts w:hint="eastAsia" w:ascii="华文细黑" w:hAnsi="华文细黑" w:eastAsia="华文细黑" w:cs="华文细黑"/>
                <w:color w:val="000000"/>
                <w:highlight w:val="none"/>
              </w:rPr>
              <w:t>厂商资质</w:t>
            </w:r>
          </w:p>
          <w:p w14:paraId="7D1DDC19">
            <w:pPr>
              <w:adjustRightInd w:val="0"/>
              <w:snapToGrid w:val="0"/>
              <w:spacing w:line="360" w:lineRule="auto"/>
              <w:jc w:val="center"/>
              <w:rPr>
                <w:rFonts w:hint="eastAsia" w:ascii="华文细黑" w:hAnsi="华文细黑" w:eastAsia="华文细黑" w:cs="华文细黑"/>
                <w:color w:val="000000"/>
                <w:spacing w:val="-6"/>
                <w:szCs w:val="21"/>
                <w:highlight w:val="none"/>
              </w:rPr>
            </w:pPr>
            <w:r>
              <w:rPr>
                <w:rFonts w:hint="eastAsia" w:ascii="华文细黑" w:hAnsi="华文细黑" w:eastAsia="华文细黑" w:cs="华文细黑"/>
                <w:color w:val="000000"/>
                <w:highlight w:val="none"/>
              </w:rPr>
              <w:t>（6分）</w:t>
            </w:r>
          </w:p>
        </w:tc>
        <w:tc>
          <w:tcPr>
            <w:tcW w:w="6602" w:type="dxa"/>
            <w:tcBorders>
              <w:top w:val="single" w:color="auto" w:sz="4" w:space="0"/>
              <w:left w:val="single" w:color="auto" w:sz="4" w:space="0"/>
              <w:bottom w:val="single" w:color="auto" w:sz="4" w:space="0"/>
              <w:right w:val="single" w:color="auto" w:sz="4" w:space="0"/>
            </w:tcBorders>
            <w:vAlign w:val="center"/>
          </w:tcPr>
          <w:p w14:paraId="6FB00B3A">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kern w:val="0"/>
                <w:szCs w:val="21"/>
                <w:highlight w:val="none"/>
                <w:lang w:val="en-US" w:eastAsia="zh-CN"/>
              </w:rPr>
              <w:t>提供</w:t>
            </w:r>
            <w:r>
              <w:rPr>
                <w:rFonts w:hint="eastAsia" w:ascii="华文细黑" w:hAnsi="华文细黑" w:eastAsia="华文细黑" w:cs="华文细黑"/>
                <w:color w:val="000000"/>
                <w:highlight w:val="none"/>
              </w:rPr>
              <w:t>具有国家工业信息安全发展研究中心</w:t>
            </w:r>
            <w:r>
              <w:rPr>
                <w:rFonts w:hint="eastAsia" w:ascii="华文细黑" w:hAnsi="华文细黑" w:eastAsia="华文细黑" w:cs="华文细黑"/>
                <w:color w:val="000000"/>
                <w:highlight w:val="none"/>
                <w:lang w:val="en-US" w:eastAsia="zh-CN"/>
              </w:rPr>
              <w:t>颁发</w:t>
            </w:r>
            <w:r>
              <w:rPr>
                <w:rFonts w:hint="eastAsia" w:ascii="华文细黑" w:hAnsi="华文细黑" w:eastAsia="华文细黑" w:cs="华文细黑"/>
                <w:color w:val="000000"/>
                <w:highlight w:val="none"/>
              </w:rPr>
              <w:t>的软件测试证书</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rPr>
              <w:t>得1分。</w:t>
            </w:r>
          </w:p>
          <w:p w14:paraId="146E8A4D">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color w:val="000000"/>
                <w:highlight w:val="none"/>
                <w:lang w:val="en-US" w:eastAsia="zh-CN"/>
              </w:rPr>
              <w:t>提供所投</w:t>
            </w:r>
            <w:r>
              <w:rPr>
                <w:rFonts w:hint="eastAsia" w:ascii="华文细黑" w:hAnsi="华文细黑" w:eastAsia="华文细黑" w:cs="华文细黑"/>
                <w:color w:val="000000"/>
                <w:highlight w:val="none"/>
              </w:rPr>
              <w:t>产品公安部颁发的</w:t>
            </w:r>
            <w:r>
              <w:rPr>
                <w:rFonts w:hint="eastAsia" w:ascii="华文细黑" w:hAnsi="华文细黑" w:eastAsia="华文细黑" w:cs="华文细黑"/>
                <w:kern w:val="0"/>
                <w:szCs w:val="21"/>
                <w:highlight w:val="none"/>
              </w:rPr>
              <w:t>网络安全专用产品安全检测证书</w:t>
            </w:r>
            <w:r>
              <w:rPr>
                <w:rFonts w:hint="eastAsia" w:ascii="华文细黑" w:hAnsi="华文细黑" w:eastAsia="华文细黑" w:cs="华文细黑"/>
                <w:kern w:val="0"/>
                <w:szCs w:val="21"/>
                <w:highlight w:val="none"/>
                <w:lang w:val="en-US" w:eastAsia="zh-CN"/>
              </w:rPr>
              <w:t>的</w:t>
            </w:r>
            <w:r>
              <w:rPr>
                <w:rFonts w:hint="eastAsia" w:ascii="华文细黑" w:hAnsi="华文细黑" w:eastAsia="华文细黑" w:cs="华文细黑"/>
                <w:kern w:val="0"/>
                <w:szCs w:val="21"/>
                <w:highlight w:val="none"/>
              </w:rPr>
              <w:t>，</w:t>
            </w:r>
            <w:r>
              <w:rPr>
                <w:rFonts w:hint="eastAsia" w:ascii="华文细黑" w:hAnsi="华文细黑" w:eastAsia="华文细黑" w:cs="华文细黑"/>
                <w:color w:val="000000"/>
                <w:highlight w:val="none"/>
              </w:rPr>
              <w:t>得1分。</w:t>
            </w:r>
          </w:p>
          <w:p w14:paraId="67732EED">
            <w:pPr>
              <w:pStyle w:val="12"/>
              <w:numPr>
                <w:ilvl w:val="0"/>
                <w:numId w:val="9"/>
              </w:numPr>
              <w:adjustRightInd w:val="0"/>
              <w:snapToGrid w:val="0"/>
              <w:spacing w:line="360" w:lineRule="auto"/>
              <w:ind w:firstLineChars="0"/>
              <w:jc w:val="left"/>
              <w:rPr>
                <w:rFonts w:hint="eastAsia" w:ascii="华文细黑" w:hAnsi="华文细黑" w:eastAsia="华文细黑" w:cs="华文细黑"/>
                <w:kern w:val="0"/>
                <w:szCs w:val="21"/>
                <w:highlight w:val="none"/>
              </w:rPr>
            </w:pPr>
            <w:r>
              <w:rPr>
                <w:rFonts w:hint="eastAsia" w:ascii="华文细黑" w:hAnsi="华文细黑" w:eastAsia="华文细黑" w:cs="华文细黑"/>
                <w:color w:val="000000"/>
                <w:highlight w:val="none"/>
                <w:lang w:val="en-US" w:eastAsia="zh-CN"/>
              </w:rPr>
              <w:t>所投</w:t>
            </w:r>
            <w:r>
              <w:rPr>
                <w:rFonts w:hint="eastAsia" w:ascii="华文细黑" w:hAnsi="华文细黑" w:eastAsia="华文细黑" w:cs="华文细黑"/>
                <w:color w:val="000000"/>
                <w:highlight w:val="none"/>
              </w:rPr>
              <w:t>产品要求成熟度不低于10年，以软件著作权登记证首次发表日期为准</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提供</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rPr>
              <w:t>得1分。</w:t>
            </w:r>
          </w:p>
          <w:p w14:paraId="3C2F5C0E">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厂商应具有符合GB/T 19001-2016/ISO 9001:2015标准的《质</w:t>
            </w:r>
            <w:r>
              <w:rPr>
                <w:rFonts w:hint="eastAsia" w:ascii="华文细黑" w:hAnsi="华文细黑" w:eastAsia="华文细黑" w:cs="华文细黑"/>
                <w:color w:val="000000"/>
                <w:highlight w:val="none"/>
              </w:rPr>
              <w:t>投标厂商</w:t>
            </w:r>
            <w:r>
              <w:rPr>
                <w:rFonts w:hint="eastAsia" w:ascii="华文细黑" w:hAnsi="华文细黑" w:eastAsia="华文细黑" w:cs="华文细黑"/>
                <w:kern w:val="0"/>
                <w:szCs w:val="21"/>
                <w:highlight w:val="none"/>
              </w:rPr>
              <w:t>量管理体系认证证书》</w:t>
            </w:r>
            <w:r>
              <w:rPr>
                <w:rFonts w:hint="eastAsia" w:ascii="华文细黑" w:hAnsi="华文细黑" w:eastAsia="华文细黑" w:cs="华文细黑"/>
                <w:kern w:val="0"/>
                <w:szCs w:val="21"/>
                <w:highlight w:val="none"/>
                <w:lang w:eastAsia="zh-CN"/>
              </w:rPr>
              <w:t>，</w:t>
            </w:r>
            <w:r>
              <w:rPr>
                <w:rFonts w:hint="eastAsia" w:ascii="华文细黑" w:hAnsi="华文细黑" w:eastAsia="华文细黑" w:cs="华文细黑"/>
                <w:kern w:val="0"/>
                <w:szCs w:val="21"/>
                <w:highlight w:val="none"/>
              </w:rPr>
              <w:t>提供资质证书复印件</w:t>
            </w:r>
            <w:r>
              <w:rPr>
                <w:rFonts w:hint="eastAsia" w:ascii="华文细黑" w:hAnsi="华文细黑" w:eastAsia="华文细黑" w:cs="华文细黑"/>
                <w:color w:val="000000"/>
                <w:highlight w:val="none"/>
              </w:rPr>
              <w:t>加盖厂商公章</w:t>
            </w:r>
            <w:r>
              <w:rPr>
                <w:rFonts w:hint="eastAsia" w:ascii="华文细黑" w:hAnsi="华文细黑" w:eastAsia="华文细黑" w:cs="华文细黑"/>
                <w:color w:val="000000"/>
                <w:highlight w:val="none"/>
                <w:lang w:val="en-US" w:eastAsia="zh-CN"/>
              </w:rPr>
              <w:t>的</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得1分。</w:t>
            </w:r>
          </w:p>
          <w:p w14:paraId="022F0521">
            <w:pPr>
              <w:pStyle w:val="12"/>
              <w:numPr>
                <w:ilvl w:val="0"/>
                <w:numId w:val="9"/>
              </w:numPr>
              <w:adjustRightInd w:val="0"/>
              <w:snapToGrid w:val="0"/>
              <w:spacing w:line="360" w:lineRule="auto"/>
              <w:ind w:firstLineChars="0"/>
              <w:jc w:val="left"/>
              <w:rPr>
                <w:rFonts w:hint="eastAsia" w:ascii="华文细黑" w:hAnsi="华文细黑" w:eastAsia="华文细黑" w:cs="华文细黑"/>
                <w:color w:val="000000"/>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color w:val="000000"/>
                <w:highlight w:val="none"/>
              </w:rPr>
              <w:t>应具有符合GB/T 22080-2016/ISO/IEC27001：2013标准的《信息安全管理体系认证证书》提供资质证书复印件加盖厂商公章</w:t>
            </w:r>
            <w:r>
              <w:rPr>
                <w:rFonts w:hint="eastAsia" w:ascii="华文细黑" w:hAnsi="华文细黑" w:eastAsia="华文细黑" w:cs="华文细黑"/>
                <w:color w:val="000000"/>
                <w:highlight w:val="none"/>
                <w:lang w:eastAsia="zh-CN"/>
              </w:rPr>
              <w:t>，</w:t>
            </w:r>
            <w:r>
              <w:rPr>
                <w:rFonts w:hint="eastAsia" w:ascii="华文细黑" w:hAnsi="华文细黑" w:eastAsia="华文细黑" w:cs="华文细黑"/>
                <w:color w:val="000000"/>
                <w:highlight w:val="none"/>
              </w:rPr>
              <w:t>提供得1分。</w:t>
            </w:r>
          </w:p>
          <w:p w14:paraId="1E17371B">
            <w:pPr>
              <w:pStyle w:val="12"/>
              <w:numPr>
                <w:ilvl w:val="0"/>
                <w:numId w:val="9"/>
              </w:numPr>
              <w:adjustRightInd w:val="0"/>
              <w:snapToGrid w:val="0"/>
              <w:spacing w:line="360" w:lineRule="auto"/>
              <w:ind w:firstLineChars="0"/>
              <w:jc w:val="left"/>
              <w:rPr>
                <w:rFonts w:hint="eastAsia" w:ascii="华文细黑" w:hAnsi="华文细黑" w:eastAsia="华文细黑" w:cs="华文细黑"/>
                <w:kern w:val="0"/>
                <w:szCs w:val="21"/>
                <w:highlight w:val="none"/>
              </w:rPr>
            </w:pPr>
            <w:r>
              <w:rPr>
                <w:rFonts w:hint="eastAsia" w:ascii="华文细黑" w:hAnsi="华文细黑" w:eastAsia="华文细黑" w:cs="华文细黑"/>
                <w:kern w:val="0"/>
                <w:szCs w:val="21"/>
                <w:highlight w:val="none"/>
                <w:lang w:val="en-US" w:eastAsia="zh-CN"/>
              </w:rPr>
              <w:t>产品</w:t>
            </w:r>
            <w:r>
              <w:rPr>
                <w:rFonts w:hint="eastAsia" w:ascii="华文细黑" w:hAnsi="华文细黑" w:eastAsia="华文细黑" w:cs="华文细黑"/>
                <w:kern w:val="0"/>
                <w:szCs w:val="21"/>
                <w:highlight w:val="none"/>
              </w:rPr>
              <w:t>厂商</w:t>
            </w:r>
            <w:r>
              <w:rPr>
                <w:rFonts w:hint="eastAsia" w:ascii="华文细黑" w:hAnsi="华文细黑" w:eastAsia="华文细黑" w:cs="华文细黑"/>
                <w:color w:val="000000"/>
                <w:highlight w:val="none"/>
              </w:rPr>
              <w:t>至少有1名原厂工程师具有ITIL认证资格，提供原厂盖章的ITIL认证证书。提供得1分。</w:t>
            </w:r>
          </w:p>
        </w:tc>
      </w:tr>
    </w:tbl>
    <w:p w14:paraId="7960AF9D">
      <w:pPr>
        <w:numPr>
          <w:ilvl w:val="0"/>
          <w:numId w:val="0"/>
        </w:numPr>
        <w:rPr>
          <w:rFonts w:hint="eastAsia" w:ascii="华文细黑" w:hAnsi="华文细黑" w:eastAsia="华文细黑" w:cs="华文细黑"/>
          <w:highlight w:val="none"/>
          <w:lang w:val="en-US" w:eastAsia="zh-CN"/>
        </w:rPr>
      </w:pPr>
    </w:p>
    <w:p w14:paraId="53559433">
      <w:pPr>
        <w:numPr>
          <w:ilvl w:val="0"/>
          <w:numId w:val="0"/>
        </w:numPr>
        <w:rPr>
          <w:rFonts w:hint="eastAsia" w:ascii="华文细黑" w:hAnsi="华文细黑" w:eastAsia="华文细黑" w:cs="华文细黑"/>
          <w:lang w:val="en-US" w:eastAsia="zh-CN"/>
        </w:rPr>
      </w:pPr>
    </w:p>
    <w:p w14:paraId="7FEADDD7">
      <w:pPr>
        <w:outlineLvl w:val="0"/>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九、</w:t>
      </w:r>
      <w:r>
        <w:rPr>
          <w:rFonts w:hint="eastAsia" w:ascii="微软雅黑" w:hAnsi="微软雅黑" w:eastAsia="微软雅黑" w:cs="微软雅黑"/>
          <w:b/>
          <w:bCs/>
          <w:szCs w:val="21"/>
        </w:rPr>
        <w:t>报名及开标</w:t>
      </w:r>
    </w:p>
    <w:p w14:paraId="64864E49">
      <w:pPr>
        <w:rPr>
          <w:rFonts w:ascii="华文细黑" w:hAnsi="华文细黑" w:eastAsia="华文细黑" w:cs="华文细黑"/>
          <w:szCs w:val="21"/>
        </w:rPr>
      </w:pPr>
      <w:r>
        <w:rPr>
          <w:rFonts w:hint="eastAsia" w:ascii="华文细黑" w:hAnsi="华文细黑" w:eastAsia="华文细黑" w:cs="华文细黑"/>
          <w:szCs w:val="21"/>
        </w:rPr>
        <w:t>1.报名时间：2025年4月</w:t>
      </w:r>
      <w:r>
        <w:rPr>
          <w:rFonts w:hint="eastAsia" w:ascii="华文细黑" w:hAnsi="华文细黑" w:eastAsia="华文细黑" w:cs="华文细黑"/>
          <w:szCs w:val="21"/>
          <w:lang w:val="en-US" w:eastAsia="zh-CN"/>
        </w:rPr>
        <w:t>14</w:t>
      </w:r>
      <w:r>
        <w:rPr>
          <w:rFonts w:hint="eastAsia" w:ascii="华文细黑" w:hAnsi="华文细黑" w:eastAsia="华文细黑" w:cs="华文细黑"/>
          <w:szCs w:val="21"/>
        </w:rPr>
        <w:t>日至2025年4月</w:t>
      </w:r>
      <w:r>
        <w:rPr>
          <w:rFonts w:hint="eastAsia" w:ascii="华文细黑" w:hAnsi="华文细黑" w:eastAsia="华文细黑" w:cs="华文细黑"/>
          <w:szCs w:val="21"/>
          <w:lang w:val="en-US" w:eastAsia="zh-CN"/>
        </w:rPr>
        <w:t>21</w:t>
      </w:r>
      <w:bookmarkStart w:id="8" w:name="_GoBack"/>
      <w:bookmarkEnd w:id="8"/>
      <w:r>
        <w:rPr>
          <w:rFonts w:hint="eastAsia" w:ascii="华文细黑" w:hAnsi="华文细黑" w:eastAsia="华文细黑" w:cs="华文细黑"/>
          <w:szCs w:val="21"/>
        </w:rPr>
        <w:t>日(节假日除外）。上午8:00-11:00 下午2:00-5:00；</w:t>
      </w:r>
    </w:p>
    <w:p w14:paraId="5D89219F">
      <w:pPr>
        <w:rPr>
          <w:rFonts w:ascii="华文细黑" w:hAnsi="华文细黑" w:eastAsia="华文细黑" w:cs="华文细黑"/>
          <w:szCs w:val="21"/>
        </w:rPr>
      </w:pPr>
      <w:r>
        <w:rPr>
          <w:rFonts w:hint="eastAsia" w:ascii="华文细黑" w:hAnsi="华文细黑" w:eastAsia="华文细黑" w:cs="华文细黑"/>
          <w:szCs w:val="21"/>
        </w:rPr>
        <w:t>2.报名地点：丹阳市人民医院采购中心（丹阳市西二环路教育印刷厂三楼）；</w:t>
      </w:r>
    </w:p>
    <w:p w14:paraId="3B7C85C6">
      <w:pPr>
        <w:rPr>
          <w:rFonts w:ascii="华文细黑" w:hAnsi="华文细黑" w:eastAsia="华文细黑" w:cs="华文细黑"/>
          <w:szCs w:val="21"/>
        </w:rPr>
      </w:pPr>
      <w:r>
        <w:rPr>
          <w:rFonts w:hint="eastAsia" w:ascii="华文细黑" w:hAnsi="华文细黑" w:eastAsia="华文细黑" w:cs="华文细黑"/>
          <w:szCs w:val="21"/>
        </w:rPr>
        <w:t>3.联系人及电话：杨先生；联系电话：0511-86553123、15189172512。</w:t>
      </w:r>
    </w:p>
    <w:p w14:paraId="59CA9256">
      <w:pPr>
        <w:rPr>
          <w:rFonts w:ascii="华文细黑" w:hAnsi="华文细黑" w:eastAsia="华文细黑" w:cs="华文细黑"/>
          <w:szCs w:val="21"/>
        </w:rPr>
      </w:pPr>
      <w:r>
        <w:rPr>
          <w:rFonts w:hint="eastAsia" w:ascii="华文细黑" w:hAnsi="华文细黑" w:eastAsia="华文细黑" w:cs="华文细黑"/>
          <w:szCs w:val="21"/>
        </w:rPr>
        <w:t>4.开标时间：医院通知</w:t>
      </w:r>
    </w:p>
    <w:p w14:paraId="7B643912">
      <w:pPr>
        <w:rPr>
          <w:rFonts w:ascii="华文细黑" w:hAnsi="华文细黑" w:eastAsia="华文细黑" w:cs="华文细黑"/>
          <w:szCs w:val="21"/>
        </w:rPr>
      </w:pPr>
      <w:r>
        <w:rPr>
          <w:rFonts w:hint="eastAsia" w:ascii="华文细黑" w:hAnsi="华文细黑" w:eastAsia="华文细黑" w:cs="华文细黑"/>
          <w:szCs w:val="21"/>
        </w:rPr>
        <w:t>5.开标地点：院内会议室</w:t>
      </w:r>
    </w:p>
    <w:p w14:paraId="195EDBB4">
      <w:pPr>
        <w:rPr>
          <w:rFonts w:hint="eastAsia" w:ascii="微软雅黑" w:hAnsi="微软雅黑" w:eastAsia="微软雅黑" w:cs="微软雅黑"/>
          <w:b w:val="0"/>
          <w:bCs/>
          <w:sz w:val="28"/>
          <w:szCs w:val="28"/>
        </w:rPr>
      </w:pPr>
      <w:r>
        <w:rPr>
          <w:rFonts w:hint="eastAsia" w:ascii="华文细黑" w:hAnsi="华文细黑" w:eastAsia="华文细黑" w:cs="华文细黑"/>
          <w:szCs w:val="21"/>
        </w:rPr>
        <w:t>6.投标文件：一式二份，开标时提供（格式参见第二部分）。</w:t>
      </w:r>
    </w:p>
    <w:p w14:paraId="1DE09265">
      <w:pPr>
        <w:ind w:firstLine="1680" w:firstLineChars="600"/>
        <w:rPr>
          <w:rFonts w:hint="eastAsia" w:ascii="微软雅黑" w:hAnsi="微软雅黑" w:eastAsia="微软雅黑" w:cs="微软雅黑"/>
          <w:b w:val="0"/>
          <w:bCs/>
          <w:sz w:val="28"/>
          <w:szCs w:val="28"/>
        </w:rPr>
      </w:pPr>
    </w:p>
    <w:p w14:paraId="463CFDDD">
      <w:pPr>
        <w:ind w:firstLine="1680" w:firstLineChars="600"/>
        <w:rPr>
          <w:rFonts w:hint="eastAsia" w:ascii="微软雅黑" w:hAnsi="微软雅黑" w:eastAsia="微软雅黑" w:cs="微软雅黑"/>
          <w:b w:val="0"/>
          <w:bCs/>
          <w:sz w:val="28"/>
          <w:szCs w:val="28"/>
        </w:rPr>
      </w:pPr>
    </w:p>
    <w:p w14:paraId="524E968A">
      <w:pPr>
        <w:snapToGrid w:val="0"/>
        <w:spacing w:line="360" w:lineRule="auto"/>
        <w:ind w:firstLine="3213" w:firstLineChars="1000"/>
        <w:jc w:val="both"/>
        <w:rPr>
          <w:rFonts w:hint="eastAsia" w:ascii="宋体" w:hAnsi="宋体"/>
          <w:b/>
          <w:bCs/>
          <w:sz w:val="32"/>
          <w:szCs w:val="32"/>
        </w:rPr>
      </w:pPr>
      <w:r>
        <w:rPr>
          <w:rFonts w:hint="eastAsia" w:ascii="宋体" w:hAnsi="宋体"/>
          <w:b/>
          <w:bCs/>
          <w:sz w:val="32"/>
          <w:szCs w:val="32"/>
        </w:rPr>
        <w:t>丹阳市人民医院</w:t>
      </w:r>
    </w:p>
    <w:p w14:paraId="2BF2005B">
      <w:pPr>
        <w:snapToGrid w:val="0"/>
        <w:spacing w:line="360" w:lineRule="auto"/>
        <w:jc w:val="center"/>
        <w:rPr>
          <w:rFonts w:hint="eastAsia" w:ascii="宋体" w:hAnsi="宋体"/>
          <w:b/>
          <w:bCs/>
          <w:sz w:val="32"/>
          <w:szCs w:val="32"/>
        </w:rPr>
      </w:pPr>
      <w:r>
        <w:rPr>
          <w:rFonts w:hint="eastAsia" w:ascii="宋体" w:hAnsi="宋体"/>
          <w:b/>
          <w:bCs/>
          <w:sz w:val="32"/>
          <w:szCs w:val="32"/>
        </w:rPr>
        <w:t>XXX系统采购合同</w:t>
      </w:r>
    </w:p>
    <w:p w14:paraId="7E045CD3">
      <w:pPr>
        <w:spacing w:before="78" w:line="219"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甲方：</w:t>
      </w:r>
      <w:r>
        <w:rPr>
          <w:rFonts w:hint="eastAsia" w:asciiTheme="minorEastAsia" w:hAnsiTheme="minorEastAsia" w:eastAsiaTheme="minorEastAsia" w:cstheme="minorEastAsia"/>
          <w:spacing w:val="87"/>
          <w:szCs w:val="21"/>
        </w:rPr>
        <w:t xml:space="preserve"> </w:t>
      </w:r>
      <w:r>
        <w:rPr>
          <w:rFonts w:hint="eastAsia" w:asciiTheme="minorEastAsia" w:hAnsiTheme="minorEastAsia" w:eastAsiaTheme="minorEastAsia" w:cstheme="minorEastAsia"/>
          <w:spacing w:val="-6"/>
          <w:szCs w:val="21"/>
        </w:rPr>
        <w:t>(采购单位)</w:t>
      </w:r>
      <w:r>
        <w:rPr>
          <w:rFonts w:hint="eastAsia" w:asciiTheme="minorEastAsia" w:hAnsiTheme="minorEastAsia" w:eastAsiaTheme="minorEastAsia" w:cstheme="minorEastAsia"/>
          <w:spacing w:val="100"/>
          <w:szCs w:val="21"/>
        </w:rPr>
        <w:t xml:space="preserve"> </w:t>
      </w:r>
      <w:r>
        <w:rPr>
          <w:rFonts w:hint="eastAsia" w:asciiTheme="minorEastAsia" w:hAnsiTheme="minorEastAsia" w:eastAsiaTheme="minorEastAsia" w:cstheme="minorEastAsia"/>
          <w:spacing w:val="100"/>
          <w:szCs w:val="21"/>
          <w:u w:val="single"/>
        </w:rPr>
        <w:t xml:space="preserve"> </w:t>
      </w:r>
      <w:r>
        <w:rPr>
          <w:rFonts w:hint="eastAsia" w:asciiTheme="minorEastAsia" w:hAnsiTheme="minorEastAsia" w:eastAsiaTheme="minorEastAsia" w:cstheme="minorEastAsia"/>
          <w:spacing w:val="-112"/>
          <w:szCs w:val="21"/>
          <w:u w:val="single"/>
        </w:rPr>
        <w:t xml:space="preserve">  </w:t>
      </w:r>
      <w:r>
        <w:rPr>
          <w:rFonts w:hint="eastAsia" w:asciiTheme="minorEastAsia" w:hAnsiTheme="minorEastAsia" w:eastAsiaTheme="minorEastAsia" w:cstheme="minorEastAsia"/>
          <w:spacing w:val="-6"/>
          <w:szCs w:val="21"/>
          <w:u w:val="single"/>
        </w:rPr>
        <w:t xml:space="preserve">丹阳市人民医院                </w:t>
      </w:r>
    </w:p>
    <w:p w14:paraId="086A0C95">
      <w:pPr>
        <w:spacing w:before="195" w:line="219"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乙方：(中标供应商)</w:t>
      </w:r>
      <w:r>
        <w:rPr>
          <w:rFonts w:hint="eastAsia" w:asciiTheme="minorEastAsia" w:hAnsiTheme="minorEastAsia" w:eastAsiaTheme="minorEastAsia" w:cstheme="minorEastAsia"/>
          <w:spacing w:val="97"/>
          <w:szCs w:val="21"/>
        </w:rPr>
        <w:t xml:space="preserve"> </w:t>
      </w:r>
      <w:r>
        <w:rPr>
          <w:rFonts w:hint="eastAsia" w:asciiTheme="minorEastAsia" w:hAnsiTheme="minorEastAsia" w:eastAsiaTheme="minorEastAsia" w:cstheme="minorEastAsia"/>
          <w:spacing w:val="-110"/>
          <w:szCs w:val="21"/>
          <w:u w:val="single"/>
        </w:rPr>
        <w:t xml:space="preserve"> </w:t>
      </w:r>
      <w:r>
        <w:rPr>
          <w:rFonts w:hint="eastAsia" w:asciiTheme="minorEastAsia" w:hAnsiTheme="minorEastAsia" w:eastAsiaTheme="minorEastAsia" w:cstheme="minorEastAsia"/>
          <w:spacing w:val="6"/>
          <w:szCs w:val="21"/>
          <w:u w:val="single"/>
        </w:rPr>
        <w:t xml:space="preserve">                        </w:t>
      </w:r>
      <w:r>
        <w:rPr>
          <w:rFonts w:hint="eastAsia" w:asciiTheme="minorEastAsia" w:hAnsiTheme="minorEastAsia" w:eastAsiaTheme="minorEastAsia" w:cstheme="minorEastAsia"/>
          <w:szCs w:val="21"/>
          <w:u w:val="single"/>
        </w:rPr>
        <w:t xml:space="preserve">   </w:t>
      </w:r>
    </w:p>
    <w:p w14:paraId="67716267">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03D9050E">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根据《中华人民共和国民法典》及有关法律法规，双方秉持</w:t>
      </w:r>
      <w:r>
        <w:rPr>
          <w:rFonts w:hint="eastAsia" w:asciiTheme="minorEastAsia" w:hAnsiTheme="minorEastAsia" w:eastAsiaTheme="minorEastAsia" w:cstheme="minorEastAsia"/>
          <w:color w:val="auto"/>
          <w:szCs w:val="21"/>
        </w:rPr>
        <w:t>平等自愿、公平公正、互惠互利的原则，经友好协商，</w:t>
      </w:r>
      <w:r>
        <w:rPr>
          <w:rFonts w:hint="eastAsia" w:asciiTheme="minorEastAsia" w:hAnsiTheme="minorEastAsia" w:eastAsiaTheme="minorEastAsia" w:cstheme="minorEastAsia"/>
          <w:bCs/>
          <w:color w:val="auto"/>
          <w:szCs w:val="21"/>
        </w:rPr>
        <w:t>就甲方委托乙方开发事宜达成一致并签订本协议，合同如下：</w:t>
      </w:r>
    </w:p>
    <w:p w14:paraId="37A39253">
      <w:pPr>
        <w:pStyle w:val="8"/>
        <w:shd w:val="clear" w:color="auto" w:fill="FFFFFF"/>
        <w:adjustRightInd w:val="0"/>
        <w:snapToGrid w:val="0"/>
        <w:spacing w:before="0" w:beforeAutospacing="0" w:after="0" w:afterAutospacing="0"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1.主要服务内容</w:t>
      </w:r>
    </w:p>
    <w:p w14:paraId="19314263">
      <w:pPr>
        <w:pStyle w:val="12"/>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1.1软件开发服务</w:t>
      </w:r>
    </w:p>
    <w:p w14:paraId="11CC8757">
      <w:pPr>
        <w:pStyle w:val="12"/>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具体服务内容见附件一《功能技术指标》（具体模块、功能、参数等）如内容较多以附件形式附后。</w:t>
      </w:r>
    </w:p>
    <w:p w14:paraId="6E70D0FF">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1.2质保与售后</w:t>
      </w:r>
    </w:p>
    <w:p w14:paraId="790EAFE8">
      <w:pPr>
        <w:pStyle w:val="12"/>
        <w:adjustRightInd w:val="0"/>
        <w:snapToGrid w:val="0"/>
        <w:spacing w:line="360" w:lineRule="auto"/>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（1）本合同期限为一次性购买，长期使用，乙方提供</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年的免费维保服务。产品质保期满后，甲方如需乙方继续提供维保服务，双方应签订书面维保协议，维保费按照合同总额的</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%收取。</w:t>
      </w:r>
    </w:p>
    <w:p w14:paraId="437F5F6D">
      <w:pPr>
        <w:pStyle w:val="12"/>
        <w:adjustRightInd w:val="0"/>
        <w:snapToGrid w:val="0"/>
        <w:spacing w:line="360" w:lineRule="auto"/>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（2）乙方承诺终身免费提供软件升级及与第三方平台的相关接口服务。</w:t>
      </w:r>
    </w:p>
    <w:p w14:paraId="087CB417">
      <w:pPr>
        <w:pStyle w:val="12"/>
        <w:adjustRightInd w:val="0"/>
        <w:snapToGrid w:val="0"/>
        <w:spacing w:line="360" w:lineRule="auto"/>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2.合同价及付款方式</w:t>
      </w:r>
    </w:p>
    <w:p w14:paraId="33158184">
      <w:pPr>
        <w:pStyle w:val="12"/>
        <w:adjustRightInd w:val="0"/>
        <w:snapToGrid w:val="0"/>
        <w:spacing w:line="360" w:lineRule="auto"/>
        <w:ind w:firstLine="428"/>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2.1合同价</w:t>
      </w:r>
    </w:p>
    <w:p w14:paraId="5B167068">
      <w:pPr>
        <w:pStyle w:val="12"/>
        <w:adjustRightInd w:val="0"/>
        <w:snapToGrid w:val="0"/>
        <w:spacing w:line="360" w:lineRule="auto"/>
        <w:ind w:firstLine="428"/>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pacing w:val="2"/>
          <w:szCs w:val="21"/>
        </w:rPr>
        <w:t>合同金额(大写)为人民币</w:t>
      </w:r>
      <w:r>
        <w:rPr>
          <w:rFonts w:hint="eastAsia" w:asciiTheme="minorEastAsia" w:hAnsiTheme="minorEastAsia" w:eastAsiaTheme="minorEastAsia" w:cstheme="minorEastAsia"/>
          <w:spacing w:val="92"/>
          <w:szCs w:val="21"/>
          <w:u w:val="single"/>
        </w:rPr>
        <w:t xml:space="preserve">      </w:t>
      </w:r>
      <w:r>
        <w:rPr>
          <w:rFonts w:hint="eastAsia" w:asciiTheme="minorEastAsia" w:hAnsiTheme="minorEastAsia" w:eastAsiaTheme="minorEastAsia" w:cstheme="minorEastAsia"/>
          <w:spacing w:val="2"/>
          <w:szCs w:val="21"/>
        </w:rPr>
        <w:t>元整,</w:t>
      </w:r>
      <w:r>
        <w:rPr>
          <w:rFonts w:hint="eastAsia" w:asciiTheme="minorEastAsia" w:hAnsiTheme="minorEastAsia" w:eastAsiaTheme="minorEastAsia" w:cstheme="minorEastAsia"/>
          <w:spacing w:val="93"/>
          <w:szCs w:val="21"/>
        </w:rPr>
        <w:t xml:space="preserve"> </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8"/>
          <w:szCs w:val="21"/>
          <w:u w:val="single"/>
        </w:rPr>
        <w:t xml:space="preserve"> </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元。</w:t>
      </w:r>
    </w:p>
    <w:p w14:paraId="06E31C41">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 付款方式 </w:t>
      </w:r>
    </w:p>
    <w:p w14:paraId="51BF8E41">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在本协议签订后，甲方向乙方支付合同总额的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），验收合格后付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），系统运行一年后付清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bCs/>
          <w:color w:val="auto"/>
        </w:rPr>
        <w:t>所有款项付清前，</w:t>
      </w:r>
      <w:r>
        <w:rPr>
          <w:rFonts w:hint="eastAsia" w:asciiTheme="minorEastAsia" w:hAnsiTheme="minorEastAsia" w:eastAsiaTheme="minorEastAsia" w:cstheme="minorEastAsia"/>
          <w:bCs/>
        </w:rPr>
        <w:t>乙方应向甲方开具符合国家要求的发票。</w:t>
      </w:r>
      <w:r>
        <w:rPr>
          <w:rFonts w:hint="eastAsia" w:asciiTheme="minorEastAsia" w:hAnsiTheme="minorEastAsia" w:eastAsiaTheme="minorEastAsia" w:cstheme="minorEastAsia"/>
          <w:bCs/>
          <w:color w:val="FF0000"/>
        </w:rPr>
        <w:t xml:space="preserve"> </w:t>
      </w:r>
      <w:r>
        <w:rPr>
          <w:rFonts w:hint="eastAsia" w:asciiTheme="minorEastAsia" w:hAnsiTheme="minorEastAsia" w:eastAsiaTheme="minorEastAsia" w:cstheme="minorEastAsia"/>
          <w:szCs w:val="21"/>
        </w:rPr>
        <w:t>---具体按谈判记录来</w:t>
      </w:r>
    </w:p>
    <w:p w14:paraId="58F3F894">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2.3乙方银行信息：</w:t>
      </w:r>
    </w:p>
    <w:p w14:paraId="22943CE7">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户名：</w:t>
      </w:r>
    </w:p>
    <w:p w14:paraId="2BF13C6A">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开户行：</w:t>
      </w:r>
    </w:p>
    <w:p w14:paraId="60A787D2">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银行账号</w:t>
      </w:r>
    </w:p>
    <w:p w14:paraId="161270E9">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2.4甲方开票信息</w:t>
      </w:r>
    </w:p>
    <w:p w14:paraId="5C826A84">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名称：丹阳市人民医院</w:t>
      </w:r>
    </w:p>
    <w:p w14:paraId="123D3BEC">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社会信用代码：</w:t>
      </w:r>
    </w:p>
    <w:p w14:paraId="52308AC6">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开户行：</w:t>
      </w:r>
    </w:p>
    <w:p w14:paraId="2B48B70E">
      <w:pPr>
        <w:pStyle w:val="12"/>
        <w:adjustRightInd w:val="0"/>
        <w:snapToGri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账号：</w:t>
      </w:r>
    </w:p>
    <w:p w14:paraId="1FA367DC">
      <w:pPr>
        <w:pStyle w:val="12"/>
        <w:adjustRightInd w:val="0"/>
        <w:snapToGrid w:val="0"/>
        <w:spacing w:line="360" w:lineRule="auto"/>
        <w:ind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3.软件开发</w:t>
      </w:r>
    </w:p>
    <w:p w14:paraId="5AD4193E">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3.1本协议签订后，乙方应在</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日前完成功能开发及</w:t>
      </w:r>
      <w:r>
        <w:rPr>
          <w:rFonts w:hint="eastAsia" w:asciiTheme="minorEastAsia" w:hAnsiTheme="minorEastAsia" w:eastAsiaTheme="minorEastAsia" w:cstheme="minorEastAsia"/>
          <w:bCs/>
          <w:color w:val="auto"/>
          <w:sz w:val="21"/>
          <w:szCs w:val="21"/>
        </w:rPr>
        <w:t>验收</w:t>
      </w:r>
      <w:r>
        <w:rPr>
          <w:rFonts w:hint="eastAsia" w:asciiTheme="minorEastAsia" w:hAnsiTheme="minorEastAsia" w:eastAsiaTheme="minorEastAsia" w:cstheme="minorEastAsia"/>
          <w:bCs/>
          <w:sz w:val="21"/>
          <w:szCs w:val="21"/>
        </w:rPr>
        <w:t>完毕，每逾期一天甲方收取乙方合同价的</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%作为违约金。</w:t>
      </w:r>
    </w:p>
    <w:p w14:paraId="15D953D1">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由于医院信息系统7×24小时不间断工作的特性，在本项目实施过程中导致甲方临床业务运行中断，乙方必须在15分钟内紧急修复以保障医院临床业务的正常运行，在升级改造过程中如果造成数据丢失或其他损失的须赔偿全部损失。</w:t>
      </w:r>
    </w:p>
    <w:p w14:paraId="4D7128CE">
      <w:pPr>
        <w:pStyle w:val="12"/>
        <w:adjustRightInd w:val="0"/>
        <w:snapToGrid w:val="0"/>
        <w:spacing w:line="360" w:lineRule="auto"/>
        <w:ind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4.项目验收</w:t>
      </w:r>
    </w:p>
    <w:p w14:paraId="0937434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 在协议工期内完成系统接入，由乙方制定测试方案并经甲方确认后，对系统的性能和配置进行测试验收，验收单见附件二《丹阳市人民医院验收单》。</w:t>
      </w:r>
    </w:p>
    <w:p w14:paraId="281D99FF">
      <w:pPr>
        <w:pStyle w:val="12"/>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如乙方未能在约定时限内（时限见3.1）完成验收，甲方给予乙方15天(包含非工作日)时间进行整改并再次验收，若验收再次不合格，甲方有权利单方面解除合同，并要求乙方返还合同项下已支付的款项，并赔偿由此对甲方造成的损失。</w:t>
      </w:r>
    </w:p>
    <w:p w14:paraId="12A987E2">
      <w:pPr>
        <w:pStyle w:val="12"/>
        <w:adjustRightInd w:val="0"/>
        <w:snapToGrid w:val="0"/>
        <w:spacing w:line="360" w:lineRule="auto"/>
        <w:ind w:firstLine="42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 xml:space="preserve">4.3  </w:t>
      </w:r>
      <w:r>
        <w:rPr>
          <w:rFonts w:hint="eastAsia" w:asciiTheme="minorEastAsia" w:hAnsiTheme="minorEastAsia" w:eastAsiaTheme="minorEastAsia"/>
          <w:b/>
          <w:bCs/>
          <w:color w:val="auto"/>
          <w:highlight w:val="none"/>
        </w:rPr>
        <w:t>乙方所提供的服务内容不符合协议规定的，甲方不予验收，并视为乙方未完成协议主要义务，由此造成延迟交付的，按3.1款执行。</w:t>
      </w:r>
    </w:p>
    <w:p w14:paraId="0CCE9E14">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5.质保与售后</w:t>
      </w:r>
    </w:p>
    <w:p w14:paraId="6D9328D9">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5.1乙方承诺系统接口终身免费开放，不向医院或第三方收取任何费用。</w:t>
      </w:r>
    </w:p>
    <w:p w14:paraId="419306E4">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5.2项目验收合格后，必须安排不少于1名在该公司工作年限不低于3年的技术工程师，驻场负责售后维护工作三个月。</w:t>
      </w:r>
    </w:p>
    <w:p w14:paraId="407C2E9F">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质保期内（质保期见1.2）应免费提供技术服务，技术服务包括系统的维护和技术支持，终身支持进行必要的软件升级。在质保期内，乙方对由于设计缺陷所发生的任何不足或故障负责，所涉及费用（包括人工费、差旅费、伙食费、乙方人员在工作期间、途中的人身财产损失或致第三人的人身财产损失等）均由乙方承担。</w:t>
      </w:r>
    </w:p>
    <w:p w14:paraId="771562C6">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5.4对质保期内的维保服务是否有具体要求，有的话在此处书写，并附上违约条款。</w:t>
      </w:r>
      <w:r>
        <w:rPr>
          <w:rFonts w:hint="eastAsia" w:asciiTheme="minorEastAsia" w:hAnsiTheme="minorEastAsia" w:eastAsiaTheme="minorEastAsia" w:cstheme="minorEastAsia"/>
          <w:b/>
          <w:color w:val="auto"/>
          <w:sz w:val="21"/>
          <w:szCs w:val="21"/>
          <w:highlight w:val="none"/>
        </w:rPr>
        <w:t xml:space="preserve">软件出现故障，接到甲方通知，乙方应当及时做出响应，在 </w:t>
      </w:r>
      <w:r>
        <w:rPr>
          <w:rFonts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（时间）内排除故障。如乙方售后服务不能按承诺时效响应，由于响应不及时导致甲方产生额外维修费用的，由乙方承担。</w:t>
      </w:r>
    </w:p>
    <w:p w14:paraId="0A7B3E0B">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5.5乙方负责对操作人员、诊断人员、维修人员进行培训，详细说明培训的方式、地点、人数、时间等实质性内容，现场培训时间不低于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个工作日，直至操作人员对操作技术完全掌握为止。</w:t>
      </w:r>
    </w:p>
    <w:p w14:paraId="3507E611">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5.6乙方必须提供正式的现场培训计划(包括使用培训：乙方应在安装现场对采购人技术人员、使用人员进行现场培训；维护培训：日常操作、维护、运行培训) 和培训材料提纲，乙方应提供全套的培训材料。培训材料必须符合标准并用中文书写。包括：电子版系统数据结构文档，运行维护手册，系统说明文件、技术手册(安装、测试、操作、维护、故障排除等)、用户使用手册、软件资料、全套技术文件。培训所需所有费用由乙方承担。</w:t>
      </w:r>
    </w:p>
    <w:p w14:paraId="0B11EB40">
      <w:pPr>
        <w:pStyle w:val="8"/>
        <w:shd w:val="clear" w:color="auto" w:fill="FFFFFF"/>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5.7在使用过程中如发生功能增加或调整，甲方只负责协调，不额外增加任何费用。</w:t>
      </w:r>
    </w:p>
    <w:p w14:paraId="497ABE41">
      <w:pPr>
        <w:pStyle w:val="12"/>
        <w:adjustRightInd w:val="0"/>
        <w:snapToGrid w:val="0"/>
        <w:spacing w:line="360" w:lineRule="auto"/>
        <w:ind w:firstLine="0" w:firstLineChars="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6.关于知识产权的约定</w:t>
      </w:r>
    </w:p>
    <w:p w14:paraId="04E1B2D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保证甲方在使用该服务或其任何一部分时不受第三方提出侵犯其专利权、商标权和工业设计权的起诉。如果任何第三方提出侵权指挥或赔偿要求，乙方必须与第三方交涉，并承担发生和可能发生的一切损失、费用和法律责任。如由于乙方不积极与第三方交涉，甲方有权应诉或进行和解，其发生的费用由乙方承担。</w:t>
      </w:r>
    </w:p>
    <w:p w14:paraId="619577F4">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7.转让和分包</w:t>
      </w:r>
    </w:p>
    <w:p w14:paraId="3E27B3CB">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本合同不得转让和分包，</w:t>
      </w:r>
      <w:r>
        <w:rPr>
          <w:rFonts w:hint="eastAsia" w:asciiTheme="minorEastAsia" w:hAnsiTheme="minorEastAsia" w:eastAsiaTheme="minorEastAsia" w:cstheme="minorEastAsia"/>
          <w:b/>
          <w:bCs/>
          <w:color w:val="auto"/>
          <w:highlight w:val="none"/>
        </w:rPr>
        <w:t>如有发生，甲方有权解除协议，由此造成的一切损失由乙方承担，同时，乙方应向甲方承担违约金10000元。</w:t>
      </w:r>
    </w:p>
    <w:p w14:paraId="142938A8">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8.不可抗力</w:t>
      </w:r>
    </w:p>
    <w:p w14:paraId="0C6F4A91">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如果双方由于不可抗拒力的任何事故(须经双方认同)致使影响合同履行时，履行合同的期限应予延长，延长期限相当于事故影响的时间。</w:t>
      </w:r>
    </w:p>
    <w:p w14:paraId="248C65BC">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本条所述的“不可抗拒力”系指双方无法控制、不可预见的事件。这些事件包括但不限于：战争、严重水灾、台风、地震以及其他双方商定的事件。</w:t>
      </w:r>
    </w:p>
    <w:p w14:paraId="39279498">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受事故影响的一方应在不可抗拒力事故发生后尽快以传真通知对方，双方应通过友好协商在合理时间内达成进一步履行合同的协议。</w:t>
      </w:r>
    </w:p>
    <w:p w14:paraId="3E7C6702">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9. 税费</w:t>
      </w:r>
    </w:p>
    <w:p w14:paraId="45887EC2">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9.1中国政府根据现行税法规定对甲方征收的与本合同有关的一切税费均由甲方负担(免税部分除外),招标文件另有规定的除外。</w:t>
      </w:r>
    </w:p>
    <w:p w14:paraId="2073B9D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中国政府根据现行税法规定对乙方征收的与本合同有关的一切税费均由乙方负担(免税部分除外)。</w:t>
      </w:r>
    </w:p>
    <w:p w14:paraId="12AC122B">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10.合同纠纷处理</w:t>
      </w:r>
    </w:p>
    <w:p w14:paraId="6E41B889">
      <w:pPr>
        <w:pStyle w:val="12"/>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10.1 在执行本合同中所发生的或与本合同有关的一切争端，甲方和乙方应通过友好协商的办法进行解决。无法协商解决的，依法向甲方所在地人民法院起诉</w:t>
      </w:r>
      <w:r>
        <w:rPr>
          <w:rFonts w:hint="eastAsia" w:asciiTheme="minorEastAsia" w:hAnsiTheme="minorEastAsia" w:eastAsiaTheme="minorEastAsia" w:cstheme="minorEastAsia"/>
          <w:b/>
          <w:bCs/>
          <w:color w:val="auto"/>
          <w:szCs w:val="21"/>
          <w:highlight w:val="none"/>
        </w:rPr>
        <w:t>，权利方支出的诉讼费用、律师代理费、保函费、交通费等合理费用由对方承担。</w:t>
      </w:r>
    </w:p>
    <w:p w14:paraId="6A515375">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在诉讼期间，本合同应继续执行。</w:t>
      </w:r>
    </w:p>
    <w:p w14:paraId="4CFB9ABA">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11. 违约终止合同</w:t>
      </w:r>
    </w:p>
    <w:p w14:paraId="6B6BA8A2">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发生以下情况之一的，甲方可向乙方发出终止部分或全部合同的书面通知书，</w:t>
      </w:r>
      <w:r>
        <w:rPr>
          <w:rFonts w:hint="eastAsia" w:asciiTheme="minorEastAsia" w:hAnsiTheme="minorEastAsia" w:eastAsiaTheme="minorEastAsia" w:cstheme="minorEastAsia"/>
          <w:b/>
          <w:bCs/>
          <w:color w:val="auto"/>
          <w:szCs w:val="21"/>
          <w:highlight w:val="none"/>
        </w:rPr>
        <w:t>并要求乙方支付违约金10000元</w:t>
      </w:r>
      <w:r>
        <w:rPr>
          <w:rFonts w:hint="eastAsia" w:asciiTheme="minorEastAsia" w:hAnsiTheme="minorEastAsia" w:eastAsiaTheme="minorEastAsia" w:cstheme="minorEastAsia"/>
          <w:color w:val="auto"/>
          <w:szCs w:val="21"/>
          <w:highlight w:val="none"/>
        </w:rPr>
        <w:t>。</w:t>
      </w:r>
    </w:p>
    <w:p w14:paraId="1C31519B">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(1)如果乙方未能按合同规定的期限或甲方同意延长的限期内完成部分或全部服务工作；</w:t>
      </w:r>
    </w:p>
    <w:p w14:paraId="2B145970">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(2)乙方在收到甲方发出的违约通知后10天内，或经甲方书面认可延长的时间内未能纠正其过失；</w:t>
      </w:r>
    </w:p>
    <w:p w14:paraId="46B7E505">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(3)如果乙方未能履行合同规定的其他义务。</w:t>
      </w:r>
    </w:p>
    <w:p w14:paraId="17D9C7A9">
      <w:pPr>
        <w:pStyle w:val="12"/>
        <w:adjustRightInd w:val="0"/>
        <w:snapToGrid w:val="0"/>
        <w:spacing w:line="360" w:lineRule="auto"/>
        <w:ind w:firstLine="0"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（4）如市场有更先进的产品或该产品无法满足甲方需求，甲方有权终止该合同，并且不承担任何费用。</w:t>
      </w:r>
    </w:p>
    <w:p w14:paraId="18CD65E1">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在甲方根据上述第11.1条规定，终止了全部或部分合同后，甲方可以依其认为适当的条件和方法购买与此服务类似的服务，乙方应对甲方购买类似服务所超出的那部分费用负责。但是，乙方应继续执行合同中未终止的部分。</w:t>
      </w:r>
    </w:p>
    <w:p w14:paraId="1ACA2728">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12.保密义务</w:t>
      </w:r>
    </w:p>
    <w:p w14:paraId="584CE8C5">
      <w:pPr>
        <w:pStyle w:val="12"/>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任何一方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p w14:paraId="198AB319">
      <w:pPr>
        <w:pStyle w:val="12"/>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12.2本合同到期或因任何原因提前终止或无效并不影响本保密条款的效力，双方仍应履行保密义务。</w:t>
      </w:r>
    </w:p>
    <w:p w14:paraId="79057E46">
      <w:pPr>
        <w:pStyle w:val="12"/>
        <w:adjustRightInd w:val="0"/>
        <w:snapToGrid w:val="0"/>
        <w:spacing w:line="360" w:lineRule="auto"/>
        <w:ind w:firstLine="0" w:firstLine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13. 合同生效及其它</w:t>
      </w:r>
    </w:p>
    <w:p w14:paraId="62CA4C79">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13.1本合同经甲方、乙方盖章签字后生效。本合同一式肆份，甲方贰份、乙方贰份。</w:t>
      </w:r>
    </w:p>
    <w:p w14:paraId="05E4A057">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13.2如需修改或补充合同内容，应经甲方、乙方协商，并签署书面修改或补充协议，提交监督管理部门一份备案。该协议将作为本合同不可分割的一部分。</w:t>
      </w:r>
    </w:p>
    <w:p w14:paraId="2EE7F00A">
      <w:pPr>
        <w:pStyle w:val="12"/>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13.3本合同应按照中华人民共和国的现行法律进行解释。</w:t>
      </w:r>
    </w:p>
    <w:p w14:paraId="12F07F96">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 xml:space="preserve"> 附件一《功能技术指标》</w:t>
      </w:r>
    </w:p>
    <w:p w14:paraId="2F5B49B4">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 xml:space="preserve"> 附件二《丹阳市人民医院验收单》</w:t>
      </w:r>
    </w:p>
    <w:p w14:paraId="5C27384F">
      <w:pPr>
        <w:spacing w:line="360" w:lineRule="auto"/>
        <w:ind w:left="418" w:leftChars="199" w:firstLine="220" w:firstLineChars="92"/>
        <w:rPr>
          <w:rFonts w:hint="eastAsia" w:ascii="宋体" w:hAnsi="宋体"/>
          <w:color w:val="auto"/>
          <w:sz w:val="24"/>
          <w:szCs w:val="20"/>
          <w:highlight w:val="none"/>
        </w:rPr>
      </w:pPr>
      <w:r>
        <w:rPr>
          <w:rFonts w:hint="eastAsia" w:ascii="宋体" w:hAnsi="宋体"/>
          <w:color w:val="auto"/>
          <w:sz w:val="24"/>
          <w:szCs w:val="20"/>
          <w:highlight w:val="none"/>
        </w:rPr>
        <w:t>附件三《丹阳市人民医院医院信息化保密协议》</w:t>
      </w:r>
    </w:p>
    <w:p w14:paraId="67A81832">
      <w:pPr>
        <w:ind w:firstLine="480" w:firstLineChars="200"/>
        <w:rPr>
          <w:rFonts w:hint="eastAsia" w:ascii="宋体" w:hAnsi="宋体"/>
          <w:color w:val="auto"/>
          <w:spacing w:val="5"/>
          <w:sz w:val="23"/>
          <w:szCs w:val="23"/>
          <w:highlight w:val="none"/>
        </w:rPr>
      </w:pPr>
      <w:r>
        <w:rPr>
          <w:rFonts w:ascii="宋体" w:hAnsi="宋体"/>
          <w:color w:val="auto"/>
          <w:spacing w:val="5"/>
          <w:sz w:val="23"/>
          <w:szCs w:val="23"/>
          <w:highlight w:val="none"/>
        </w:rPr>
        <w:t>(以下无正文)</w:t>
      </w:r>
    </w:p>
    <w:p w14:paraId="36B52CC7">
      <w:pPr>
        <w:adjustRightInd w:val="0"/>
        <w:snapToGrid w:val="0"/>
        <w:spacing w:line="360" w:lineRule="auto"/>
        <w:ind w:firstLine="420"/>
        <w:rPr>
          <w:rFonts w:hint="eastAsia" w:ascii="宋体" w:hAnsi="宋体"/>
          <w:color w:val="auto"/>
          <w:kern w:val="0"/>
          <w:szCs w:val="21"/>
          <w:highlight w:val="none"/>
        </w:rPr>
      </w:pPr>
    </w:p>
    <w:p w14:paraId="5F83965F">
      <w:pPr>
        <w:spacing w:before="187" w:line="219" w:lineRule="auto"/>
        <w:ind w:left="475"/>
        <w:rPr>
          <w:rFonts w:hint="eastAsia" w:ascii="宋体" w:hAnsi="宋体"/>
          <w:color w:val="auto"/>
          <w:sz w:val="23"/>
          <w:szCs w:val="23"/>
          <w:highlight w:val="none"/>
        </w:rPr>
      </w:pPr>
      <w:r>
        <w:rPr>
          <w:rFonts w:ascii="宋体" w:hAnsi="宋体"/>
          <w:color w:val="auto"/>
          <w:spacing w:val="-10"/>
          <w:sz w:val="23"/>
          <w:szCs w:val="23"/>
          <w:highlight w:val="none"/>
        </w:rPr>
        <w:t>甲</w:t>
      </w:r>
      <w:r>
        <w:rPr>
          <w:rFonts w:ascii="宋体" w:hAnsi="宋体"/>
          <w:color w:val="auto"/>
          <w:spacing w:val="-26"/>
          <w:sz w:val="23"/>
          <w:szCs w:val="23"/>
          <w:highlight w:val="none"/>
        </w:rPr>
        <w:t xml:space="preserve"> </w:t>
      </w:r>
      <w:r>
        <w:rPr>
          <w:rFonts w:ascii="宋体" w:hAnsi="宋体"/>
          <w:color w:val="auto"/>
          <w:spacing w:val="-10"/>
          <w:sz w:val="23"/>
          <w:szCs w:val="23"/>
          <w:highlight w:val="none"/>
        </w:rPr>
        <w:t>方</w:t>
      </w:r>
      <w:r>
        <w:rPr>
          <w:rFonts w:ascii="宋体" w:hAnsi="宋体"/>
          <w:color w:val="auto"/>
          <w:spacing w:val="7"/>
          <w:sz w:val="23"/>
          <w:szCs w:val="23"/>
          <w:highlight w:val="none"/>
        </w:rPr>
        <w:t xml:space="preserve"> </w:t>
      </w:r>
      <w:r>
        <w:rPr>
          <w:rFonts w:ascii="宋体" w:hAnsi="宋体"/>
          <w:color w:val="auto"/>
          <w:spacing w:val="-10"/>
          <w:sz w:val="23"/>
          <w:szCs w:val="23"/>
          <w:highlight w:val="none"/>
        </w:rPr>
        <w:t>(</w:t>
      </w:r>
      <w:r>
        <w:rPr>
          <w:rFonts w:ascii="宋体" w:hAnsi="宋体"/>
          <w:color w:val="auto"/>
          <w:spacing w:val="-28"/>
          <w:sz w:val="23"/>
          <w:szCs w:val="23"/>
          <w:highlight w:val="none"/>
        </w:rPr>
        <w:t xml:space="preserve"> </w:t>
      </w:r>
      <w:r>
        <w:rPr>
          <w:rFonts w:ascii="宋体" w:hAnsi="宋体"/>
          <w:color w:val="auto"/>
          <w:spacing w:val="-10"/>
          <w:sz w:val="23"/>
          <w:szCs w:val="23"/>
          <w:highlight w:val="none"/>
        </w:rPr>
        <w:t>公</w:t>
      </w:r>
      <w:r>
        <w:rPr>
          <w:rFonts w:ascii="宋体" w:hAnsi="宋体"/>
          <w:color w:val="auto"/>
          <w:spacing w:val="-26"/>
          <w:sz w:val="23"/>
          <w:szCs w:val="23"/>
          <w:highlight w:val="none"/>
        </w:rPr>
        <w:t xml:space="preserve"> </w:t>
      </w:r>
      <w:r>
        <w:rPr>
          <w:rFonts w:ascii="宋体" w:hAnsi="宋体"/>
          <w:color w:val="auto"/>
          <w:spacing w:val="-10"/>
          <w:sz w:val="23"/>
          <w:szCs w:val="23"/>
          <w:highlight w:val="none"/>
        </w:rPr>
        <w:t>章</w:t>
      </w:r>
      <w:r>
        <w:rPr>
          <w:rFonts w:ascii="宋体" w:hAnsi="宋体"/>
          <w:color w:val="auto"/>
          <w:spacing w:val="-33"/>
          <w:sz w:val="23"/>
          <w:szCs w:val="23"/>
          <w:highlight w:val="none"/>
        </w:rPr>
        <w:t xml:space="preserve"> </w:t>
      </w:r>
      <w:r>
        <w:rPr>
          <w:rFonts w:ascii="宋体" w:hAnsi="宋体"/>
          <w:color w:val="auto"/>
          <w:spacing w:val="-10"/>
          <w:sz w:val="23"/>
          <w:szCs w:val="23"/>
          <w:highlight w:val="none"/>
        </w:rPr>
        <w:t>)</w:t>
      </w:r>
      <w:r>
        <w:rPr>
          <w:rFonts w:ascii="宋体" w:hAnsi="宋体"/>
          <w:color w:val="auto"/>
          <w:sz w:val="23"/>
          <w:szCs w:val="23"/>
          <w:highlight w:val="none"/>
        </w:rPr>
        <w:t xml:space="preserve"> </w:t>
      </w:r>
      <w:r>
        <w:rPr>
          <w:rFonts w:ascii="宋体" w:hAnsi="宋体"/>
          <w:color w:val="auto"/>
          <w:spacing w:val="-10"/>
          <w:sz w:val="23"/>
          <w:szCs w:val="23"/>
          <w:highlight w:val="none"/>
        </w:rPr>
        <w:t>:</w:t>
      </w:r>
      <w:r>
        <w:rPr>
          <w:rFonts w:ascii="宋体" w:hAnsi="宋体"/>
          <w:color w:val="auto"/>
          <w:spacing w:val="28"/>
          <w:sz w:val="23"/>
          <w:szCs w:val="23"/>
          <w:highlight w:val="none"/>
        </w:rPr>
        <w:t xml:space="preserve"> </w:t>
      </w:r>
      <w:r>
        <w:rPr>
          <w:rFonts w:ascii="宋体" w:hAnsi="宋体"/>
          <w:color w:val="auto"/>
          <w:spacing w:val="-10"/>
          <w:sz w:val="23"/>
          <w:szCs w:val="23"/>
          <w:highlight w:val="none"/>
          <w:u w:val="single"/>
        </w:rPr>
        <w:t>丹阳市人民医院</w:t>
      </w:r>
    </w:p>
    <w:p w14:paraId="562CB0AC">
      <w:pPr>
        <w:spacing w:before="189" w:line="219" w:lineRule="auto"/>
        <w:ind w:left="475"/>
        <w:rPr>
          <w:rFonts w:hint="eastAsia" w:ascii="宋体" w:hAnsi="宋体"/>
          <w:color w:val="auto"/>
          <w:sz w:val="23"/>
          <w:szCs w:val="23"/>
          <w:highlight w:val="none"/>
        </w:rPr>
      </w:pPr>
      <w:r>
        <w:rPr>
          <w:rFonts w:ascii="宋体" w:hAnsi="宋体"/>
          <w:color w:val="auto"/>
          <w:spacing w:val="19"/>
          <w:sz w:val="23"/>
          <w:szCs w:val="23"/>
          <w:highlight w:val="none"/>
        </w:rPr>
        <w:t>地址：丹阳市新民西路2号</w:t>
      </w:r>
    </w:p>
    <w:p w14:paraId="0B82A17C">
      <w:pPr>
        <w:spacing w:before="187" w:line="219" w:lineRule="auto"/>
        <w:ind w:left="475"/>
        <w:rPr>
          <w:rFonts w:hint="eastAsia" w:ascii="宋体" w:hAnsi="宋体"/>
          <w:color w:val="auto"/>
          <w:sz w:val="23"/>
          <w:szCs w:val="23"/>
          <w:highlight w:val="none"/>
        </w:rPr>
      </w:pPr>
      <w:r>
        <w:rPr>
          <w:rFonts w:ascii="宋体" w:hAnsi="宋体"/>
          <w:color w:val="auto"/>
          <w:spacing w:val="5"/>
          <w:sz w:val="23"/>
          <w:szCs w:val="23"/>
          <w:highlight w:val="none"/>
        </w:rPr>
        <w:t>法定代表人或授权代表：</w:t>
      </w:r>
    </w:p>
    <w:p w14:paraId="2D79D436">
      <w:pPr>
        <w:spacing w:before="75" w:line="221" w:lineRule="auto"/>
        <w:ind w:left="475"/>
        <w:rPr>
          <w:rFonts w:hint="eastAsia" w:ascii="宋体" w:hAnsi="宋体"/>
          <w:color w:val="auto"/>
          <w:sz w:val="23"/>
          <w:szCs w:val="23"/>
          <w:highlight w:val="none"/>
        </w:rPr>
      </w:pPr>
      <w:r>
        <w:rPr>
          <w:rFonts w:ascii="宋体" w:hAnsi="宋体"/>
          <w:color w:val="auto"/>
          <w:spacing w:val="6"/>
          <w:sz w:val="23"/>
          <w:szCs w:val="23"/>
          <w:highlight w:val="none"/>
        </w:rPr>
        <w:t>联系电话：0511-86553</w:t>
      </w:r>
      <w:r>
        <w:rPr>
          <w:rFonts w:hint="eastAsia" w:ascii="宋体" w:hAnsi="宋体"/>
          <w:color w:val="auto"/>
          <w:spacing w:val="6"/>
          <w:sz w:val="23"/>
          <w:szCs w:val="23"/>
          <w:highlight w:val="none"/>
        </w:rPr>
        <w:t>055</w:t>
      </w:r>
    </w:p>
    <w:p w14:paraId="35CEDE01">
      <w:pPr>
        <w:spacing w:line="281" w:lineRule="auto"/>
        <w:rPr>
          <w:rFonts w:ascii="Arial"/>
          <w:color w:val="auto"/>
          <w:highlight w:val="none"/>
        </w:rPr>
      </w:pPr>
    </w:p>
    <w:p w14:paraId="5C27A3A7">
      <w:pPr>
        <w:spacing w:line="281" w:lineRule="auto"/>
        <w:rPr>
          <w:rFonts w:ascii="Arial"/>
          <w:color w:val="auto"/>
          <w:highlight w:val="none"/>
        </w:rPr>
      </w:pPr>
    </w:p>
    <w:p w14:paraId="77BE2EF5">
      <w:pPr>
        <w:spacing w:line="281" w:lineRule="auto"/>
        <w:rPr>
          <w:rFonts w:ascii="Arial"/>
          <w:color w:val="auto"/>
          <w:highlight w:val="none"/>
        </w:rPr>
      </w:pPr>
    </w:p>
    <w:p w14:paraId="561C5F6B">
      <w:pPr>
        <w:spacing w:before="75" w:line="219" w:lineRule="auto"/>
        <w:ind w:left="475"/>
        <w:rPr>
          <w:rFonts w:hint="eastAsia" w:ascii="宋体" w:hAnsi="宋体"/>
          <w:color w:val="auto"/>
          <w:sz w:val="23"/>
          <w:szCs w:val="23"/>
          <w:highlight w:val="none"/>
        </w:rPr>
      </w:pPr>
      <w:r>
        <w:rPr>
          <w:rFonts w:ascii="宋体" w:hAnsi="宋体"/>
          <w:color w:val="auto"/>
          <w:spacing w:val="19"/>
          <w:sz w:val="23"/>
          <w:szCs w:val="23"/>
          <w:highlight w:val="none"/>
        </w:rPr>
        <w:t>乙方(公章):</w:t>
      </w:r>
      <w:r>
        <w:rPr>
          <w:rFonts w:ascii="宋体" w:hAnsi="宋体"/>
          <w:color w:val="auto"/>
          <w:spacing w:val="27"/>
          <w:sz w:val="23"/>
          <w:szCs w:val="23"/>
          <w:highlight w:val="none"/>
        </w:rPr>
        <w:t xml:space="preserve">  </w:t>
      </w:r>
      <w:r>
        <w:rPr>
          <w:rFonts w:ascii="宋体" w:hAnsi="宋体"/>
          <w:color w:val="auto"/>
          <w:spacing w:val="-104"/>
          <w:sz w:val="23"/>
          <w:szCs w:val="23"/>
          <w:highlight w:val="none"/>
        </w:rPr>
        <w:t xml:space="preserve"> </w:t>
      </w:r>
      <w:r>
        <w:rPr>
          <w:rFonts w:hint="eastAsia" w:ascii="宋体" w:hAnsi="宋体"/>
          <w:color w:val="auto"/>
          <w:spacing w:val="19"/>
          <w:sz w:val="23"/>
          <w:szCs w:val="23"/>
          <w:highlight w:val="none"/>
        </w:rPr>
        <w:t xml:space="preserve">                          </w:t>
      </w:r>
    </w:p>
    <w:p w14:paraId="198573CD">
      <w:pPr>
        <w:spacing w:before="177" w:line="451" w:lineRule="exact"/>
        <w:ind w:left="475"/>
        <w:rPr>
          <w:rFonts w:hint="eastAsia" w:ascii="宋体" w:hAnsi="宋体"/>
          <w:color w:val="auto"/>
          <w:sz w:val="23"/>
          <w:szCs w:val="23"/>
          <w:highlight w:val="none"/>
        </w:rPr>
      </w:pPr>
      <w:r>
        <w:rPr>
          <w:rFonts w:ascii="宋体" w:hAnsi="宋体"/>
          <w:color w:val="auto"/>
          <w:spacing w:val="12"/>
          <w:position w:val="16"/>
          <w:sz w:val="23"/>
          <w:szCs w:val="23"/>
          <w:highlight w:val="none"/>
        </w:rPr>
        <w:t>地址：</w:t>
      </w:r>
    </w:p>
    <w:p w14:paraId="2FB8307A">
      <w:pPr>
        <w:spacing w:line="219" w:lineRule="auto"/>
        <w:ind w:left="475"/>
        <w:rPr>
          <w:rFonts w:hint="eastAsia" w:ascii="宋体" w:hAnsi="宋体"/>
          <w:color w:val="auto"/>
          <w:sz w:val="23"/>
          <w:szCs w:val="23"/>
          <w:highlight w:val="none"/>
        </w:rPr>
      </w:pPr>
      <w:r>
        <w:rPr>
          <w:rFonts w:ascii="宋体" w:hAnsi="宋体"/>
          <w:color w:val="auto"/>
          <w:spacing w:val="5"/>
          <w:sz w:val="23"/>
          <w:szCs w:val="23"/>
          <w:highlight w:val="none"/>
        </w:rPr>
        <w:t>法定代表人或授权代表：</w:t>
      </w:r>
    </w:p>
    <w:p w14:paraId="48288A37">
      <w:pPr>
        <w:spacing w:before="180" w:line="221" w:lineRule="auto"/>
        <w:ind w:left="475"/>
        <w:rPr>
          <w:rFonts w:hint="eastAsia" w:ascii="宋体" w:hAnsi="宋体"/>
          <w:color w:val="auto"/>
          <w:sz w:val="23"/>
          <w:szCs w:val="23"/>
          <w:highlight w:val="none"/>
        </w:rPr>
      </w:pPr>
      <w:r>
        <w:rPr>
          <w:rFonts w:ascii="宋体" w:hAnsi="宋体"/>
          <w:color w:val="auto"/>
          <w:spacing w:val="8"/>
          <w:sz w:val="23"/>
          <w:szCs w:val="23"/>
          <w:highlight w:val="none"/>
        </w:rPr>
        <w:t>联系电话：</w:t>
      </w:r>
    </w:p>
    <w:p w14:paraId="564B4E46">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2206BBA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7759E8E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4F48F40E">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CC7ACF4">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5342EDBF">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49A7A1D0">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EF771D8">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35D737AC">
      <w:pPr>
        <w:autoSpaceDE w:val="0"/>
        <w:autoSpaceDN w:val="0"/>
        <w:adjustRightInd w:val="0"/>
        <w:spacing w:before="120" w:beforeLines="50" w:after="120" w:afterLines="50" w:line="360" w:lineRule="auto"/>
        <w:rPr>
          <w:rFonts w:hint="eastAsia" w:ascii="宋体" w:hAnsi="宋体"/>
          <w:b/>
          <w:bCs/>
          <w:color w:val="auto"/>
          <w:szCs w:val="21"/>
          <w:highlight w:val="none"/>
          <w:u w:val="single"/>
        </w:rPr>
      </w:pPr>
    </w:p>
    <w:p w14:paraId="1C7F90E9">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附件一、</w:t>
      </w:r>
      <w:r>
        <w:rPr>
          <w:rFonts w:hint="eastAsia" w:asciiTheme="majorEastAsia" w:hAnsiTheme="majorEastAsia" w:eastAsiaTheme="majorEastAsia" w:cstheme="majorEastAsia"/>
          <w:color w:val="auto"/>
          <w:sz w:val="28"/>
          <w:szCs w:val="28"/>
          <w:highlight w:val="none"/>
        </w:rPr>
        <w:t>功能技术指标 （宋四号）</w:t>
      </w:r>
    </w:p>
    <w:p w14:paraId="64E702CC">
      <w:pPr>
        <w:spacing w:line="242" w:lineRule="auto"/>
        <w:rPr>
          <w:rFonts w:hint="eastAsia" w:ascii="仿宋" w:hAnsi="仿宋" w:eastAsia="仿宋" w:cs="仿宋"/>
          <w:color w:val="auto"/>
          <w:highlight w:val="none"/>
        </w:rPr>
      </w:pPr>
    </w:p>
    <w:p w14:paraId="0D63493E">
      <w:pPr>
        <w:spacing w:before="101" w:line="219" w:lineRule="auto"/>
        <w:ind w:left="54"/>
        <w:outlineLvl w:val="6"/>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pacing w:val="-4"/>
          <w:sz w:val="28"/>
          <w:szCs w:val="28"/>
          <w:highlight w:val="none"/>
        </w:rPr>
        <w:t>一、系统对接内容（宋四号加粗）</w:t>
      </w:r>
    </w:p>
    <w:p w14:paraId="34FD900A">
      <w:pPr>
        <w:spacing w:line="335" w:lineRule="auto"/>
        <w:rPr>
          <w:color w:val="auto"/>
          <w:highlight w:val="none"/>
        </w:rPr>
      </w:pPr>
    </w:p>
    <w:p w14:paraId="7E8B922A">
      <w:pPr>
        <w:spacing w:before="88" w:line="220" w:lineRule="auto"/>
        <w:ind w:left="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1.（正文宋小四）</w:t>
      </w:r>
    </w:p>
    <w:p w14:paraId="4B7360D9">
      <w:pPr>
        <w:spacing w:line="219" w:lineRule="auto"/>
        <w:ind w:left="4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26"/>
          <w:sz w:val="24"/>
          <w:szCs w:val="24"/>
          <w:highlight w:val="none"/>
        </w:rPr>
        <w:t>2.</w:t>
      </w:r>
    </w:p>
    <w:p w14:paraId="24574DF5">
      <w:pPr>
        <w:spacing w:line="251" w:lineRule="auto"/>
        <w:rPr>
          <w:rFonts w:hint="eastAsia" w:ascii="仿宋" w:hAnsi="仿宋" w:eastAsia="仿宋" w:cs="仿宋"/>
          <w:color w:val="auto"/>
          <w:sz w:val="24"/>
          <w:szCs w:val="24"/>
          <w:highlight w:val="none"/>
        </w:rPr>
      </w:pPr>
    </w:p>
    <w:p w14:paraId="445683C6">
      <w:pPr>
        <w:spacing w:before="101" w:line="220" w:lineRule="auto"/>
        <w:ind w:left="54"/>
        <w:outlineLvl w:val="6"/>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二</w:t>
      </w:r>
      <w:r>
        <w:rPr>
          <w:rFonts w:hint="eastAsia" w:ascii="仿宋" w:hAnsi="仿宋" w:eastAsia="仿宋" w:cs="仿宋"/>
          <w:color w:val="auto"/>
          <w:spacing w:val="-58"/>
          <w:sz w:val="24"/>
          <w:szCs w:val="24"/>
          <w:highlight w:val="none"/>
        </w:rPr>
        <w:t xml:space="preserve"> </w:t>
      </w:r>
      <w:r>
        <w:rPr>
          <w:rFonts w:hint="eastAsia" w:ascii="仿宋" w:hAnsi="仿宋" w:eastAsia="仿宋" w:cs="仿宋"/>
          <w:b/>
          <w:bCs/>
          <w:color w:val="auto"/>
          <w:spacing w:val="-10"/>
          <w:sz w:val="24"/>
          <w:szCs w:val="24"/>
          <w:highlight w:val="none"/>
        </w:rPr>
        <w:t>.</w:t>
      </w:r>
      <w:r>
        <w:rPr>
          <w:rFonts w:hint="eastAsia" w:ascii="仿宋" w:hAnsi="仿宋" w:eastAsia="仿宋" w:cs="仿宋"/>
          <w:color w:val="auto"/>
          <w:spacing w:val="-74"/>
          <w:sz w:val="24"/>
          <w:szCs w:val="24"/>
          <w:highlight w:val="none"/>
        </w:rPr>
        <w:t xml:space="preserve"> </w:t>
      </w:r>
    </w:p>
    <w:p w14:paraId="460A1F9E">
      <w:pPr>
        <w:spacing w:before="88" w:line="21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0D6BBE54">
      <w:pPr>
        <w:spacing w:before="88" w:line="21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79714C64">
      <w:pPr>
        <w:rPr>
          <w:rFonts w:hint="eastAsia" w:ascii="仿宋" w:hAnsi="仿宋" w:eastAsia="仿宋" w:cs="仿宋"/>
          <w:color w:val="auto"/>
          <w:sz w:val="24"/>
          <w:szCs w:val="24"/>
          <w:highlight w:val="none"/>
        </w:rPr>
        <w:sectPr>
          <w:headerReference r:id="rId3" w:type="default"/>
          <w:footerReference r:id="rId4" w:type="default"/>
          <w:pgSz w:w="11900" w:h="16840"/>
          <w:pgMar w:top="1120" w:right="1184" w:bottom="997" w:left="1780" w:header="846" w:footer="859" w:gutter="0"/>
          <w:cols w:space="720" w:num="1"/>
        </w:sectPr>
      </w:pPr>
    </w:p>
    <w:p w14:paraId="0A8C9B28">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 件 二、</w:t>
      </w:r>
      <w:r>
        <w:rPr>
          <w:rFonts w:hint="eastAsia" w:asciiTheme="majorEastAsia" w:hAnsiTheme="majorEastAsia" w:eastAsiaTheme="majorEastAsia" w:cstheme="majorEastAsia"/>
          <w:color w:val="auto"/>
          <w:sz w:val="28"/>
          <w:szCs w:val="28"/>
          <w:highlight w:val="none"/>
        </w:rPr>
        <w:t>丹阳市人民医院验收单</w:t>
      </w:r>
    </w:p>
    <w:tbl>
      <w:tblPr>
        <w:tblStyle w:val="18"/>
        <w:tblW w:w="881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2"/>
        <w:gridCol w:w="2947"/>
        <w:gridCol w:w="1338"/>
        <w:gridCol w:w="1873"/>
      </w:tblGrid>
      <w:tr w14:paraId="4A2A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652" w:type="dxa"/>
          </w:tcPr>
          <w:p w14:paraId="4F2906B3">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项目名称</w:t>
            </w:r>
          </w:p>
        </w:tc>
        <w:tc>
          <w:tcPr>
            <w:tcW w:w="6158" w:type="dxa"/>
            <w:gridSpan w:val="3"/>
          </w:tcPr>
          <w:p w14:paraId="73F2F191">
            <w:pPr>
              <w:spacing w:line="360" w:lineRule="auto"/>
              <w:ind w:left="2406"/>
              <w:rPr>
                <w:rFonts w:hint="eastAsia" w:asciiTheme="minorEastAsia" w:hAnsiTheme="minorEastAsia" w:eastAsiaTheme="minorEastAsia" w:cstheme="minorEastAsia"/>
                <w:color w:val="auto"/>
                <w:sz w:val="23"/>
                <w:szCs w:val="23"/>
                <w:highlight w:val="none"/>
              </w:rPr>
            </w:pPr>
          </w:p>
        </w:tc>
      </w:tr>
      <w:tr w14:paraId="610D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652" w:type="dxa"/>
          </w:tcPr>
          <w:p w14:paraId="5211A020">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
                <w:sz w:val="23"/>
                <w:szCs w:val="23"/>
                <w:highlight w:val="none"/>
              </w:rPr>
              <w:t>甲方或甲方授权验收方</w:t>
            </w:r>
          </w:p>
        </w:tc>
        <w:tc>
          <w:tcPr>
            <w:tcW w:w="6158" w:type="dxa"/>
            <w:gridSpan w:val="3"/>
          </w:tcPr>
          <w:p w14:paraId="0938BF40">
            <w:pPr>
              <w:spacing w:line="360" w:lineRule="auto"/>
              <w:ind w:left="240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1"/>
                <w:sz w:val="23"/>
                <w:szCs w:val="23"/>
                <w:highlight w:val="none"/>
              </w:rPr>
              <w:t>丹阳市人民医院</w:t>
            </w:r>
          </w:p>
        </w:tc>
      </w:tr>
      <w:tr w14:paraId="6B5A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63251D61">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
                <w:sz w:val="23"/>
                <w:szCs w:val="23"/>
                <w:highlight w:val="none"/>
              </w:rPr>
              <w:t>服务方(乙方)</w:t>
            </w:r>
          </w:p>
        </w:tc>
        <w:tc>
          <w:tcPr>
            <w:tcW w:w="6158" w:type="dxa"/>
            <w:gridSpan w:val="3"/>
          </w:tcPr>
          <w:p w14:paraId="21E50E19">
            <w:pPr>
              <w:spacing w:line="360" w:lineRule="auto"/>
              <w:ind w:left="116"/>
              <w:rPr>
                <w:rFonts w:hint="eastAsia" w:asciiTheme="minorEastAsia" w:hAnsiTheme="minorEastAsia" w:eastAsiaTheme="minorEastAsia" w:cstheme="minorEastAsia"/>
                <w:color w:val="auto"/>
                <w:sz w:val="23"/>
                <w:szCs w:val="23"/>
                <w:highlight w:val="none"/>
              </w:rPr>
            </w:pPr>
          </w:p>
        </w:tc>
      </w:tr>
      <w:tr w14:paraId="5B7B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2" w:type="dxa"/>
          </w:tcPr>
          <w:p w14:paraId="0CA876F1">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合同日期</w:t>
            </w:r>
          </w:p>
        </w:tc>
        <w:tc>
          <w:tcPr>
            <w:tcW w:w="2947" w:type="dxa"/>
          </w:tcPr>
          <w:p w14:paraId="35E7B41F">
            <w:pPr>
              <w:spacing w:line="360" w:lineRule="auto"/>
              <w:ind w:left="65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11"/>
                <w:sz w:val="23"/>
                <w:szCs w:val="23"/>
                <w:highlight w:val="none"/>
              </w:rPr>
              <w:t>年</w:t>
            </w:r>
            <w:r>
              <w:rPr>
                <w:rFonts w:hint="eastAsia" w:asciiTheme="minorEastAsia" w:hAnsiTheme="minorEastAsia" w:eastAsiaTheme="minorEastAsia" w:cstheme="minorEastAsia"/>
                <w:color w:val="auto"/>
                <w:spacing w:val="15"/>
                <w:sz w:val="23"/>
                <w:szCs w:val="23"/>
                <w:highlight w:val="none"/>
              </w:rPr>
              <w:t xml:space="preserve">  </w:t>
            </w:r>
            <w:r>
              <w:rPr>
                <w:rFonts w:hint="eastAsia" w:asciiTheme="minorEastAsia" w:hAnsiTheme="minorEastAsia" w:eastAsiaTheme="minorEastAsia" w:cstheme="minorEastAsia"/>
                <w:b/>
                <w:bCs/>
                <w:color w:val="auto"/>
                <w:spacing w:val="-11"/>
                <w:sz w:val="23"/>
                <w:szCs w:val="23"/>
                <w:highlight w:val="none"/>
              </w:rPr>
              <w:t>月</w:t>
            </w:r>
            <w:r>
              <w:rPr>
                <w:rFonts w:hint="eastAsia" w:asciiTheme="minorEastAsia" w:hAnsiTheme="minorEastAsia" w:eastAsiaTheme="minorEastAsia" w:cstheme="minorEastAsia"/>
                <w:color w:val="auto"/>
                <w:spacing w:val="24"/>
                <w:sz w:val="23"/>
                <w:szCs w:val="23"/>
                <w:highlight w:val="none"/>
              </w:rPr>
              <w:t xml:space="preserve">   </w:t>
            </w:r>
            <w:r>
              <w:rPr>
                <w:rFonts w:hint="eastAsia" w:asciiTheme="minorEastAsia" w:hAnsiTheme="minorEastAsia" w:eastAsiaTheme="minorEastAsia" w:cstheme="minorEastAsia"/>
                <w:b/>
                <w:bCs/>
                <w:color w:val="auto"/>
                <w:spacing w:val="-11"/>
                <w:sz w:val="23"/>
                <w:szCs w:val="23"/>
                <w:highlight w:val="none"/>
              </w:rPr>
              <w:t>日</w:t>
            </w:r>
          </w:p>
        </w:tc>
        <w:tc>
          <w:tcPr>
            <w:tcW w:w="1338" w:type="dxa"/>
          </w:tcPr>
          <w:p w14:paraId="14F5E86C">
            <w:pPr>
              <w:spacing w:line="360" w:lineRule="auto"/>
              <w:ind w:left="8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sz w:val="23"/>
                <w:szCs w:val="23"/>
                <w:highlight w:val="none"/>
              </w:rPr>
              <w:t>合同编号</w:t>
            </w:r>
          </w:p>
        </w:tc>
        <w:tc>
          <w:tcPr>
            <w:tcW w:w="1873" w:type="dxa"/>
          </w:tcPr>
          <w:p w14:paraId="38E244F0">
            <w:pPr>
              <w:spacing w:line="360" w:lineRule="auto"/>
              <w:rPr>
                <w:rFonts w:hint="eastAsia" w:asciiTheme="minorEastAsia" w:hAnsiTheme="minorEastAsia" w:eastAsiaTheme="minorEastAsia" w:cstheme="minorEastAsia"/>
                <w:color w:val="auto"/>
                <w:highlight w:val="none"/>
              </w:rPr>
            </w:pPr>
          </w:p>
        </w:tc>
      </w:tr>
      <w:tr w14:paraId="624D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28FF3982">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4"/>
                <w:position w:val="-2"/>
                <w:sz w:val="23"/>
                <w:szCs w:val="23"/>
                <w:highlight w:val="none"/>
              </w:rPr>
              <w:t>主要内容：</w:t>
            </w:r>
            <w:r>
              <w:rPr>
                <w:rFonts w:hint="eastAsia" w:asciiTheme="minorEastAsia" w:hAnsiTheme="minorEastAsia" w:eastAsiaTheme="minorEastAsia" w:cstheme="minorEastAsia"/>
                <w:color w:val="auto"/>
                <w:spacing w:val="1"/>
                <w:position w:val="-2"/>
                <w:sz w:val="23"/>
                <w:szCs w:val="23"/>
                <w:highlight w:val="none"/>
              </w:rPr>
              <w:t xml:space="preserve">          </w:t>
            </w:r>
            <w:r>
              <w:rPr>
                <w:rFonts w:hint="eastAsia" w:asciiTheme="minorEastAsia" w:hAnsiTheme="minorEastAsia" w:eastAsiaTheme="minorEastAsia" w:cstheme="minorEastAsia"/>
                <w:color w:val="auto"/>
                <w:spacing w:val="4"/>
                <w:sz w:val="23"/>
                <w:szCs w:val="23"/>
                <w:highlight w:val="none"/>
              </w:rPr>
              <w:t>系统需求开发和技术服务，具体工作内容包括：</w:t>
            </w:r>
          </w:p>
        </w:tc>
      </w:tr>
      <w:tr w14:paraId="579E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10" w:type="dxa"/>
            <w:gridSpan w:val="4"/>
          </w:tcPr>
          <w:p w14:paraId="61CEDA6E">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5"/>
                <w:position w:val="-2"/>
                <w:sz w:val="23"/>
                <w:szCs w:val="23"/>
                <w:highlight w:val="none"/>
              </w:rPr>
              <w:t xml:space="preserve">项目概况： </w:t>
            </w:r>
            <w:r>
              <w:rPr>
                <w:rFonts w:hint="eastAsia" w:asciiTheme="minorEastAsia" w:hAnsiTheme="minorEastAsia" w:eastAsiaTheme="minorEastAsia" w:cstheme="minorEastAsia"/>
                <w:color w:val="auto"/>
                <w:spacing w:val="8"/>
                <w:position w:val="-2"/>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系统已完成合同中约定的功能并通过了测试和更新工作。</w:t>
            </w:r>
          </w:p>
        </w:tc>
      </w:tr>
      <w:tr w14:paraId="0102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8810" w:type="dxa"/>
            <w:gridSpan w:val="4"/>
          </w:tcPr>
          <w:p w14:paraId="7B89CA13">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5"/>
                <w:sz w:val="23"/>
                <w:szCs w:val="23"/>
                <w:highlight w:val="none"/>
              </w:rPr>
              <w:t>服务方(乙方):</w:t>
            </w:r>
          </w:p>
          <w:p w14:paraId="701A436B">
            <w:pPr>
              <w:spacing w:line="360" w:lineRule="auto"/>
              <w:ind w:left="54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在甲方各级领导的大力支持和甲方全体职工的紧密配合下，经</w:t>
            </w:r>
            <w:r>
              <w:rPr>
                <w:rFonts w:hint="eastAsia" w:asciiTheme="minorEastAsia" w:hAnsiTheme="minorEastAsia" w:eastAsiaTheme="minorEastAsia" w:cstheme="minorEastAsia"/>
                <w:color w:val="auto"/>
                <w:spacing w:val="-1"/>
                <w:sz w:val="23"/>
                <w:szCs w:val="23"/>
                <w:highlight w:val="none"/>
              </w:rPr>
              <w:t>过甲乙双方技术人</w:t>
            </w:r>
          </w:p>
          <w:p w14:paraId="3A995E47">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员的共同努力，</w:t>
            </w:r>
            <w:r>
              <w:rPr>
                <w:rFonts w:hint="eastAsia" w:asciiTheme="minorEastAsia" w:hAnsiTheme="minorEastAsia" w:eastAsiaTheme="minorEastAsia" w:cstheme="minorEastAsia"/>
                <w:color w:val="auto"/>
                <w:spacing w:val="26"/>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医院</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6"/>
                <w:sz w:val="23"/>
                <w:szCs w:val="23"/>
                <w:highlight w:val="none"/>
              </w:rPr>
              <w:t>需求已经完成测试和更新。乙方已</w:t>
            </w:r>
            <w:r>
              <w:rPr>
                <w:rFonts w:hint="eastAsia" w:asciiTheme="minorEastAsia" w:hAnsiTheme="minorEastAsia" w:eastAsiaTheme="minorEastAsia" w:cstheme="minorEastAsia"/>
                <w:color w:val="auto"/>
                <w:spacing w:val="-7"/>
                <w:sz w:val="23"/>
                <w:szCs w:val="23"/>
                <w:highlight w:val="none"/>
              </w:rPr>
              <w:t>经完成合</w:t>
            </w:r>
          </w:p>
          <w:p w14:paraId="28C28DC1">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position w:val="16"/>
                <w:sz w:val="23"/>
                <w:szCs w:val="23"/>
                <w:highlight w:val="none"/>
              </w:rPr>
              <w:t>同中要求的本阶段主要工作，系统基本符合合同规定的功能要求，可以进行功能总体</w:t>
            </w:r>
          </w:p>
          <w:p w14:paraId="4AC4F549">
            <w:pPr>
              <w:spacing w:line="360"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验</w:t>
            </w:r>
            <w:r>
              <w:rPr>
                <w:rFonts w:hint="eastAsia" w:asciiTheme="minorEastAsia" w:hAnsiTheme="minorEastAsia" w:eastAsiaTheme="minorEastAsia" w:cstheme="minorEastAsia"/>
                <w:color w:val="auto"/>
                <w:spacing w:val="-19"/>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收</w:t>
            </w:r>
            <w:r>
              <w:rPr>
                <w:rFonts w:hint="eastAsia" w:asciiTheme="minorEastAsia" w:hAnsiTheme="minorEastAsia" w:eastAsiaTheme="minorEastAsia" w:cstheme="minorEastAsia"/>
                <w:color w:val="auto"/>
                <w:spacing w:val="-37"/>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rPr>
              <w:t>。</w:t>
            </w:r>
          </w:p>
        </w:tc>
      </w:tr>
      <w:tr w14:paraId="3825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8810" w:type="dxa"/>
            <w:gridSpan w:val="4"/>
          </w:tcPr>
          <w:p w14:paraId="654B828E">
            <w:pPr>
              <w:spacing w:line="360" w:lineRule="auto"/>
              <w:ind w:left="9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b/>
                <w:bCs/>
                <w:color w:val="auto"/>
                <w:spacing w:val="33"/>
                <w:sz w:val="23"/>
                <w:szCs w:val="23"/>
                <w:highlight w:val="none"/>
              </w:rPr>
              <w:t>委托方(甲方):</w:t>
            </w:r>
          </w:p>
          <w:p w14:paraId="1CDC6C36">
            <w:pPr>
              <w:spacing w:line="360" w:lineRule="auto"/>
              <w:ind w:left="62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position w:val="20"/>
                <w:sz w:val="23"/>
                <w:szCs w:val="23"/>
                <w:highlight w:val="none"/>
              </w:rPr>
              <w:t>乙方已经按合同规定的义务完成合同内容，目前系统运行稳定，符合甲方信息化</w:t>
            </w:r>
          </w:p>
          <w:p w14:paraId="4F3024C4">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建设目标，交互功能总体验收通过。</w:t>
            </w:r>
          </w:p>
          <w:p w14:paraId="04FF422E">
            <w:pPr>
              <w:spacing w:line="360" w:lineRule="auto"/>
              <w:ind w:left="94"/>
              <w:rPr>
                <w:rFonts w:hint="eastAsia" w:asciiTheme="minorEastAsia" w:hAnsiTheme="minorEastAsia" w:eastAsiaTheme="minorEastAsia" w:cstheme="minorEastAsia"/>
                <w:color w:val="auto"/>
                <w:spacing w:val="7"/>
                <w:sz w:val="23"/>
                <w:szCs w:val="23"/>
                <w:highlight w:val="none"/>
              </w:rPr>
            </w:pPr>
          </w:p>
          <w:p w14:paraId="4F9AA36B">
            <w:pPr>
              <w:spacing w:line="360" w:lineRule="auto"/>
              <w:rPr>
                <w:rFonts w:hint="eastAsia" w:asciiTheme="minorEastAsia" w:hAnsiTheme="minorEastAsia" w:eastAsiaTheme="minorEastAsia" w:cstheme="minorEastAsia"/>
                <w:color w:val="auto"/>
                <w:spacing w:val="7"/>
                <w:sz w:val="23"/>
                <w:szCs w:val="23"/>
                <w:highlight w:val="none"/>
              </w:rPr>
            </w:pPr>
          </w:p>
          <w:p w14:paraId="7A7C2F5C">
            <w:pPr>
              <w:spacing w:line="360" w:lineRule="auto"/>
              <w:rPr>
                <w:rFonts w:hint="eastAsia" w:asciiTheme="minorEastAsia" w:hAnsiTheme="minorEastAsia" w:eastAsiaTheme="minorEastAsia" w:cstheme="minorEastAsia"/>
                <w:color w:val="auto"/>
                <w:spacing w:val="7"/>
                <w:sz w:val="23"/>
                <w:szCs w:val="23"/>
                <w:highlight w:val="none"/>
              </w:rPr>
            </w:pPr>
          </w:p>
          <w:p w14:paraId="0931E76B">
            <w:pPr>
              <w:spacing w:line="360" w:lineRule="auto"/>
              <w:ind w:left="94"/>
              <w:rPr>
                <w:rFonts w:hint="eastAsia" w:asciiTheme="minorEastAsia" w:hAnsiTheme="minorEastAsia" w:eastAsiaTheme="minorEastAsia" w:cstheme="minorEastAsia"/>
                <w:color w:val="auto"/>
                <w:spacing w:val="7"/>
                <w:sz w:val="23"/>
                <w:szCs w:val="23"/>
                <w:highlight w:val="none"/>
              </w:rPr>
            </w:pPr>
          </w:p>
          <w:p w14:paraId="5A87A53F">
            <w:pPr>
              <w:spacing w:line="360" w:lineRule="auto"/>
              <w:ind w:left="94"/>
              <w:rPr>
                <w:rFonts w:hint="eastAsia" w:asciiTheme="minorEastAsia" w:hAnsiTheme="minorEastAsia" w:eastAsiaTheme="minorEastAsia" w:cstheme="minorEastAsia"/>
                <w:color w:val="auto"/>
                <w:spacing w:val="7"/>
                <w:sz w:val="23"/>
                <w:szCs w:val="23"/>
                <w:highlight w:val="none"/>
              </w:rPr>
            </w:pPr>
          </w:p>
          <w:p w14:paraId="20DB56A1">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单位：丹阳市人民医院</w:t>
            </w:r>
          </w:p>
          <w:p w14:paraId="199711D1">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代表签字：</w:t>
            </w:r>
          </w:p>
          <w:p w14:paraId="539342A9">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乙方代表签字：</w:t>
            </w:r>
          </w:p>
          <w:p w14:paraId="53712F06">
            <w:pPr>
              <w:spacing w:line="360" w:lineRule="auto"/>
              <w:ind w:left="94"/>
              <w:rPr>
                <w:rFonts w:hint="eastAsia" w:asciiTheme="minorEastAsia" w:hAnsiTheme="minorEastAsia" w:eastAsiaTheme="minorEastAsia" w:cstheme="minorEastAsia"/>
                <w:color w:val="auto"/>
                <w:spacing w:val="7"/>
                <w:sz w:val="23"/>
                <w:szCs w:val="23"/>
                <w:highlight w:val="none"/>
              </w:rPr>
            </w:pPr>
            <w:r>
              <w:rPr>
                <w:rFonts w:hint="eastAsia" w:asciiTheme="minorEastAsia" w:hAnsiTheme="minorEastAsia" w:eastAsiaTheme="minorEastAsia" w:cstheme="minorEastAsia"/>
                <w:color w:val="auto"/>
                <w:spacing w:val="7"/>
                <w:sz w:val="23"/>
                <w:szCs w:val="23"/>
                <w:highlight w:val="none"/>
              </w:rPr>
              <w:t>日期：</w:t>
            </w:r>
          </w:p>
        </w:tc>
      </w:tr>
    </w:tbl>
    <w:p w14:paraId="2202AB9D">
      <w:pPr>
        <w:jc w:val="center"/>
        <w:rPr>
          <w:color w:val="auto"/>
          <w:szCs w:val="21"/>
          <w:highlight w:val="none"/>
        </w:rPr>
      </w:pPr>
    </w:p>
    <w:p w14:paraId="4F56E3DD">
      <w:pPr>
        <w:spacing w:before="87" w:line="219" w:lineRule="auto"/>
        <w:ind w:left="53"/>
        <w:rPr>
          <w:rFonts w:hint="eastAsia" w:asciiTheme="majorEastAsia" w:hAnsiTheme="majorEastAsia" w:eastAsiaTheme="majorEastAsia" w:cstheme="majorEastAsia"/>
          <w:color w:val="auto"/>
          <w:spacing w:val="-17"/>
          <w:sz w:val="28"/>
          <w:szCs w:val="28"/>
          <w:highlight w:val="none"/>
        </w:rPr>
      </w:pPr>
    </w:p>
    <w:p w14:paraId="5B7E74DC">
      <w:pPr>
        <w:spacing w:before="87" w:line="219" w:lineRule="auto"/>
        <w:ind w:left="5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7"/>
          <w:sz w:val="28"/>
          <w:szCs w:val="28"/>
          <w:highlight w:val="none"/>
        </w:rPr>
        <w:t>附 件 三、</w:t>
      </w:r>
      <w:r>
        <w:rPr>
          <w:rFonts w:hint="eastAsia" w:asciiTheme="majorEastAsia" w:hAnsiTheme="majorEastAsia" w:eastAsiaTheme="majorEastAsia" w:cstheme="majorEastAsia"/>
          <w:color w:val="auto"/>
          <w:sz w:val="28"/>
          <w:szCs w:val="28"/>
          <w:highlight w:val="none"/>
        </w:rPr>
        <w:t>丹阳市人民医院医院信息化保密协议</w:t>
      </w:r>
    </w:p>
    <w:p w14:paraId="1D55F90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w:t>
      </w:r>
    </w:p>
    <w:p w14:paraId="064085D3">
      <w:pPr>
        <w:spacing w:line="360" w:lineRule="auto"/>
        <w:rPr>
          <w:rFonts w:hint="eastAsia" w:asciiTheme="minorEastAsia" w:hAnsiTheme="minorEastAsia" w:eastAsiaTheme="minorEastAsia" w:cstheme="minorEastAsia"/>
          <w:color w:val="auto"/>
          <w:szCs w:val="21"/>
          <w:highlight w:val="none"/>
        </w:rPr>
      </w:pPr>
    </w:p>
    <w:p w14:paraId="745AAD2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p>
    <w:p w14:paraId="55B2295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鉴于乙方受甲方委托承担</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2EE86C2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一、保密信息</w:t>
      </w:r>
    </w:p>
    <w:p w14:paraId="25892E6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1AC67F1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2、上述“保密信息”包括但不限于:</w:t>
      </w:r>
    </w:p>
    <w:p w14:paraId="4C063C0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原业务系统的系统结构、系统原代码、系统帐号及口令、数据库内容、业务核心数据及业务流、业务系统相关数据和信息内容，以及其他专有信息等（以下统称“保密信息”）</w:t>
      </w:r>
    </w:p>
    <w:p w14:paraId="26395B2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3、“保密信息”不包括下列信息:</w:t>
      </w:r>
    </w:p>
    <w:p w14:paraId="016B41D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(1)在生效日之前或之后成为公众所知（非因乙方的过错）；</w:t>
      </w:r>
    </w:p>
    <w:p w14:paraId="0AC87D1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(2)乙方没有使用保密信息而独立开发的信息;</w:t>
      </w:r>
    </w:p>
    <w:p w14:paraId="48739B7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(3)乙方从第三方合法获取的信息。</w:t>
      </w:r>
    </w:p>
    <w:p w14:paraId="162128B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二、权利保证</w:t>
      </w:r>
    </w:p>
    <w:p w14:paraId="112316D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甲方保证其向乙方披露的专有信息不侵犯任何第三方的知识产权及其它合法权益。</w:t>
      </w:r>
    </w:p>
    <w:p w14:paraId="0A2F4E2F">
      <w:pPr>
        <w:numPr>
          <w:ilvl w:val="0"/>
          <w:numId w:val="10"/>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保密义务</w:t>
      </w:r>
    </w:p>
    <w:p w14:paraId="53D71706">
      <w:pPr>
        <w:numPr>
          <w:ilvl w:val="0"/>
          <w:numId w:val="11"/>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乙方从甲方获得所有保密信息，乙方仅对保密信息具有使用权，而没有所有权、知识产权及解释权。</w:t>
      </w:r>
    </w:p>
    <w:p w14:paraId="7D9B12A0">
      <w:pPr>
        <w:numPr>
          <w:ilvl w:val="0"/>
          <w:numId w:val="11"/>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甲方所披露的保密信息只能被乙方用于本项目的实施工作，不得将甲方所披露的保密信息用于其它任何目的。</w:t>
      </w:r>
    </w:p>
    <w:p w14:paraId="41266EF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3、乙方有义务妥善保管保密信息。乙方承诺采取合理的措施以保证保密信息不被泄露。</w:t>
      </w:r>
    </w:p>
    <w:p w14:paraId="7A7C213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071253B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6522FB6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0A12BF4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7、乙方应当告知并以适当方式要求其参与本项工作之雇员遵守本协议规定，乙方人员向第三方披露保密信息，或依据该等保密信息向第三方做出任何建议，都被视为乙方违反本协议。</w:t>
      </w:r>
    </w:p>
    <w:p w14:paraId="0C402CF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8、乙方参加本项目的所有人员必须与乙方签有正式的保密协议，并且该人员在知晓保密信息前应已充分了解本协议的内容。</w:t>
      </w:r>
    </w:p>
    <w:p w14:paraId="15096EA6">
      <w:pPr>
        <w:numPr>
          <w:ilvl w:val="0"/>
          <w:numId w:val="12"/>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乙方不得全部或部分复制或仿造保密信息。</w:t>
      </w:r>
    </w:p>
    <w:p w14:paraId="25E6A043">
      <w:pPr>
        <w:numPr>
          <w:ilvl w:val="0"/>
          <w:numId w:val="12"/>
        </w:num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甲方人员不得在未经过甲方纪检部门书面审批的情况下要求乙方为其统计医师个人及临床科室有关医药产品用量信息，或要求其以任何方式向第三方透露保密信息或其中的任何部分。</w:t>
      </w:r>
    </w:p>
    <w:p w14:paraId="1B9EE888">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3A4B7A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7C98295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五、保密期限</w:t>
      </w:r>
    </w:p>
    <w:p w14:paraId="7476A5A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06BECB2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六、争议解决</w:t>
      </w:r>
    </w:p>
    <w:p w14:paraId="60850B0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凡因执行本协议所发生的或与本协议有关的一切争议，双方应通过友好协商解决。如果协商不能解决时，可向甲方所在地人民法院起诉。</w:t>
      </w:r>
    </w:p>
    <w:p w14:paraId="6B06218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七、其他</w:t>
      </w:r>
    </w:p>
    <w:p w14:paraId="654030A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1、对于本协议条款的修改，只有经双方授权的代表书面签署方可生效并对双方具有约束力。</w:t>
      </w:r>
    </w:p>
    <w:p w14:paraId="6A97219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2、本协议正本一式肆份，甲乙双方各执贰份，均具同等法律效力。</w:t>
      </w:r>
    </w:p>
    <w:p w14:paraId="42F0EDD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3、合同生效日期以最后一个签字日为准。</w:t>
      </w:r>
    </w:p>
    <w:p w14:paraId="2FE1CD64">
      <w:pPr>
        <w:spacing w:line="360" w:lineRule="auto"/>
        <w:rPr>
          <w:rFonts w:hint="eastAsia" w:asciiTheme="minorEastAsia" w:hAnsiTheme="minorEastAsia" w:eastAsiaTheme="minorEastAsia" w:cstheme="minorEastAsia"/>
          <w:color w:val="auto"/>
          <w:szCs w:val="21"/>
          <w:highlight w:val="none"/>
        </w:rPr>
      </w:pPr>
    </w:p>
    <w:p w14:paraId="04913F3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乙方(盖章):</w:t>
      </w:r>
    </w:p>
    <w:p w14:paraId="5332B1D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法定代表人(负责人):</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法定代表人(负责人):</w:t>
      </w:r>
    </w:p>
    <w:p w14:paraId="5ADD59E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经办人签名:</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经办人签名:</w:t>
      </w:r>
    </w:p>
    <w:p w14:paraId="78CFA43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日期:</w:t>
      </w:r>
    </w:p>
    <w:p w14:paraId="50DD0C35">
      <w:pPr>
        <w:ind w:firstLine="420"/>
        <w:rPr>
          <w:rFonts w:hint="eastAsia" w:asciiTheme="minorEastAsia" w:hAnsiTheme="minorEastAsia" w:eastAsiaTheme="minorEastAsia" w:cstheme="minorEastAsia"/>
          <w:color w:val="auto"/>
          <w:sz w:val="24"/>
          <w:szCs w:val="24"/>
          <w:highlight w:val="none"/>
        </w:rPr>
      </w:pPr>
    </w:p>
    <w:p w14:paraId="4B2A28E4">
      <w:pPr>
        <w:spacing w:before="87" w:line="219" w:lineRule="auto"/>
        <w:ind w:left="53"/>
        <w:rPr>
          <w:rFonts w:hint="eastAsia" w:ascii="宋体" w:hAnsi="宋体"/>
          <w:b/>
          <w:bCs/>
          <w:color w:val="auto"/>
          <w:spacing w:val="-17"/>
          <w:sz w:val="27"/>
          <w:szCs w:val="27"/>
          <w:highlight w:val="none"/>
        </w:rPr>
      </w:pPr>
    </w:p>
    <w:p w14:paraId="2B6F924A">
      <w:pPr>
        <w:jc w:val="center"/>
        <w:rPr>
          <w:color w:val="auto"/>
          <w:szCs w:val="21"/>
          <w:highlight w:val="none"/>
        </w:rPr>
      </w:pPr>
    </w:p>
    <w:p w14:paraId="17DDFF1C">
      <w:pPr>
        <w:ind w:firstLine="2240" w:firstLineChars="800"/>
        <w:rPr>
          <w:rFonts w:hint="eastAsia" w:ascii="微软雅黑" w:hAnsi="微软雅黑" w:eastAsia="微软雅黑" w:cs="微软雅黑"/>
          <w:b w:val="0"/>
          <w:bCs/>
          <w:color w:val="auto"/>
          <w:sz w:val="28"/>
          <w:szCs w:val="28"/>
          <w:highlight w:val="none"/>
        </w:rPr>
      </w:pPr>
    </w:p>
    <w:p w14:paraId="7395A439">
      <w:pPr>
        <w:ind w:firstLine="2240" w:firstLineChars="800"/>
        <w:rPr>
          <w:rFonts w:hint="eastAsia" w:ascii="微软雅黑" w:hAnsi="微软雅黑" w:eastAsia="微软雅黑" w:cs="微软雅黑"/>
          <w:b w:val="0"/>
          <w:bCs/>
          <w:color w:val="auto"/>
          <w:sz w:val="28"/>
          <w:szCs w:val="28"/>
          <w:highlight w:val="none"/>
        </w:rPr>
      </w:pPr>
    </w:p>
    <w:p w14:paraId="5D9F41C8">
      <w:pPr>
        <w:ind w:firstLine="2240" w:firstLineChars="800"/>
        <w:rPr>
          <w:rFonts w:hint="eastAsia" w:ascii="微软雅黑" w:hAnsi="微软雅黑" w:eastAsia="微软雅黑" w:cs="微软雅黑"/>
          <w:b w:val="0"/>
          <w:bCs/>
          <w:color w:val="auto"/>
          <w:sz w:val="28"/>
          <w:szCs w:val="28"/>
          <w:highlight w:val="none"/>
        </w:rPr>
      </w:pPr>
    </w:p>
    <w:p w14:paraId="60258559">
      <w:pPr>
        <w:ind w:firstLine="2240" w:firstLineChars="800"/>
        <w:rPr>
          <w:rFonts w:hint="eastAsia" w:ascii="微软雅黑" w:hAnsi="微软雅黑" w:eastAsia="微软雅黑" w:cs="微软雅黑"/>
          <w:b w:val="0"/>
          <w:bCs/>
          <w:color w:val="auto"/>
          <w:sz w:val="28"/>
          <w:szCs w:val="28"/>
          <w:highlight w:val="none"/>
        </w:rPr>
      </w:pPr>
    </w:p>
    <w:p w14:paraId="3B54F615">
      <w:pPr>
        <w:ind w:firstLine="2240" w:firstLineChars="800"/>
        <w:rPr>
          <w:rFonts w:hint="eastAsia" w:ascii="微软雅黑" w:hAnsi="微软雅黑" w:eastAsia="微软雅黑" w:cs="微软雅黑"/>
          <w:b w:val="0"/>
          <w:bCs/>
          <w:color w:val="auto"/>
          <w:sz w:val="28"/>
          <w:szCs w:val="28"/>
          <w:highlight w:val="none"/>
        </w:rPr>
      </w:pPr>
    </w:p>
    <w:p w14:paraId="39BF21F2">
      <w:pPr>
        <w:ind w:firstLine="2240" w:firstLineChars="800"/>
        <w:rPr>
          <w:rFonts w:hint="eastAsia" w:ascii="微软雅黑" w:hAnsi="微软雅黑" w:eastAsia="微软雅黑" w:cs="微软雅黑"/>
          <w:b w:val="0"/>
          <w:bCs/>
          <w:color w:val="auto"/>
          <w:sz w:val="28"/>
          <w:szCs w:val="28"/>
          <w:highlight w:val="none"/>
        </w:rPr>
      </w:pPr>
    </w:p>
    <w:p w14:paraId="618256FA">
      <w:pPr>
        <w:ind w:firstLine="2240" w:firstLineChars="800"/>
        <w:rPr>
          <w:rFonts w:hint="eastAsia" w:ascii="微软雅黑" w:hAnsi="微软雅黑" w:eastAsia="微软雅黑" w:cs="微软雅黑"/>
          <w:b w:val="0"/>
          <w:bCs/>
          <w:color w:val="auto"/>
          <w:sz w:val="28"/>
          <w:szCs w:val="28"/>
          <w:highlight w:val="none"/>
        </w:rPr>
      </w:pPr>
    </w:p>
    <w:p w14:paraId="174A1202">
      <w:pPr>
        <w:ind w:firstLine="2240" w:firstLineChars="800"/>
        <w:rPr>
          <w:rFonts w:hint="eastAsia" w:ascii="微软雅黑" w:hAnsi="微软雅黑" w:eastAsia="微软雅黑" w:cs="微软雅黑"/>
          <w:b w:val="0"/>
          <w:bCs/>
          <w:color w:val="auto"/>
          <w:sz w:val="28"/>
          <w:szCs w:val="28"/>
          <w:highlight w:val="none"/>
        </w:rPr>
      </w:pPr>
    </w:p>
    <w:p w14:paraId="336959BF">
      <w:pPr>
        <w:ind w:firstLine="2240" w:firstLineChars="800"/>
        <w:rPr>
          <w:rFonts w:hint="eastAsia" w:ascii="微软雅黑" w:hAnsi="微软雅黑" w:eastAsia="微软雅黑" w:cs="微软雅黑"/>
          <w:b w:val="0"/>
          <w:bCs/>
          <w:color w:val="auto"/>
          <w:sz w:val="28"/>
          <w:szCs w:val="28"/>
          <w:highlight w:val="none"/>
        </w:rPr>
      </w:pPr>
    </w:p>
    <w:p w14:paraId="616528BD">
      <w:pPr>
        <w:ind w:firstLine="2240" w:firstLineChars="800"/>
        <w:rPr>
          <w:rFonts w:hint="eastAsia" w:ascii="微软雅黑" w:hAnsi="微软雅黑" w:eastAsia="微软雅黑" w:cs="微软雅黑"/>
          <w:b w:val="0"/>
          <w:bCs/>
          <w:color w:val="auto"/>
          <w:sz w:val="28"/>
          <w:szCs w:val="28"/>
          <w:highlight w:val="none"/>
        </w:rPr>
      </w:pPr>
    </w:p>
    <w:p w14:paraId="718215D0">
      <w:pPr>
        <w:ind w:firstLine="2240" w:firstLineChars="800"/>
        <w:rPr>
          <w:rFonts w:hint="eastAsia" w:ascii="微软雅黑" w:hAnsi="微软雅黑" w:eastAsia="微软雅黑" w:cs="微软雅黑"/>
          <w:b w:val="0"/>
          <w:bCs/>
          <w:color w:val="auto"/>
          <w:sz w:val="28"/>
          <w:szCs w:val="28"/>
          <w:highlight w:val="none"/>
        </w:rPr>
      </w:pPr>
    </w:p>
    <w:p w14:paraId="47A0DFC4">
      <w:pPr>
        <w:ind w:firstLine="2240" w:firstLineChars="800"/>
        <w:rPr>
          <w:rFonts w:hint="eastAsia" w:ascii="微软雅黑" w:hAnsi="微软雅黑" w:eastAsia="微软雅黑" w:cs="微软雅黑"/>
          <w:b w:val="0"/>
          <w:bCs/>
          <w:color w:val="auto"/>
          <w:sz w:val="28"/>
          <w:szCs w:val="28"/>
          <w:highlight w:val="none"/>
        </w:rPr>
      </w:pPr>
    </w:p>
    <w:p w14:paraId="1D90E3DA">
      <w:pPr>
        <w:ind w:firstLine="2240" w:firstLineChars="800"/>
        <w:rPr>
          <w:rFonts w:hint="eastAsia" w:ascii="微软雅黑" w:hAnsi="微软雅黑" w:eastAsia="微软雅黑" w:cs="微软雅黑"/>
          <w:b w:val="0"/>
          <w:bCs/>
          <w:color w:val="auto"/>
          <w:sz w:val="28"/>
          <w:szCs w:val="28"/>
          <w:highlight w:val="none"/>
        </w:rPr>
      </w:pPr>
    </w:p>
    <w:p w14:paraId="0CF78D48">
      <w:pPr>
        <w:ind w:firstLine="2240" w:firstLineChars="800"/>
        <w:rPr>
          <w:rFonts w:hint="eastAsia" w:ascii="微软雅黑" w:hAnsi="微软雅黑" w:eastAsia="微软雅黑" w:cs="微软雅黑"/>
          <w:b w:val="0"/>
          <w:bCs/>
          <w:color w:val="auto"/>
          <w:sz w:val="28"/>
          <w:szCs w:val="28"/>
          <w:highlight w:val="none"/>
        </w:rPr>
      </w:pPr>
    </w:p>
    <w:p w14:paraId="13561EB5">
      <w:pPr>
        <w:ind w:firstLine="2240" w:firstLineChars="800"/>
        <w:rPr>
          <w:rFonts w:hint="eastAsia" w:ascii="微软雅黑" w:hAnsi="微软雅黑" w:eastAsia="微软雅黑" w:cs="微软雅黑"/>
          <w:b w:val="0"/>
          <w:bCs/>
          <w:color w:val="auto"/>
          <w:sz w:val="28"/>
          <w:szCs w:val="28"/>
          <w:highlight w:val="none"/>
        </w:rPr>
      </w:pPr>
    </w:p>
    <w:p w14:paraId="0CDF9D08">
      <w:pPr>
        <w:rPr>
          <w:rFonts w:hint="eastAsia" w:ascii="微软雅黑" w:hAnsi="微软雅黑" w:eastAsia="微软雅黑" w:cs="微软雅黑"/>
          <w:b w:val="0"/>
          <w:bCs/>
          <w:color w:val="auto"/>
          <w:sz w:val="28"/>
          <w:szCs w:val="28"/>
          <w:highlight w:val="none"/>
        </w:rPr>
      </w:pPr>
    </w:p>
    <w:p w14:paraId="09BD854E">
      <w:pPr>
        <w:ind w:firstLine="2240" w:firstLineChars="800"/>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sz w:val="28"/>
          <w:szCs w:val="28"/>
          <w:highlight w:val="none"/>
        </w:rPr>
        <w:t>丹阳市人民医院</w:t>
      </w:r>
      <w:r>
        <w:rPr>
          <w:rFonts w:hint="eastAsia" w:ascii="微软雅黑" w:hAnsi="微软雅黑" w:eastAsia="微软雅黑" w:cs="微软雅黑"/>
          <w:b w:val="0"/>
          <w:bCs/>
          <w:color w:val="auto"/>
          <w:sz w:val="28"/>
          <w:szCs w:val="28"/>
          <w:highlight w:val="none"/>
          <w:lang w:val="en-US" w:eastAsia="zh-CN"/>
        </w:rPr>
        <w:t>堡垒机采购项目</w:t>
      </w:r>
    </w:p>
    <w:p w14:paraId="46C1AC8A">
      <w:pPr>
        <w:snapToGrid w:val="0"/>
        <w:spacing w:line="396" w:lineRule="atLeast"/>
        <w:ind w:firstLine="1546"/>
        <w:jc w:val="center"/>
        <w:rPr>
          <w:rFonts w:ascii="微软雅黑" w:hAnsi="微软雅黑" w:eastAsia="微软雅黑" w:cs="微软雅黑"/>
          <w:color w:val="auto"/>
          <w:sz w:val="32"/>
          <w:szCs w:val="32"/>
          <w:highlight w:val="none"/>
        </w:rPr>
      </w:pPr>
    </w:p>
    <w:p w14:paraId="22D4F9B5">
      <w:pPr>
        <w:snapToGrid w:val="0"/>
        <w:spacing w:line="396" w:lineRule="atLeast"/>
        <w:ind w:firstLine="4216"/>
        <w:jc w:val="center"/>
        <w:rPr>
          <w:rFonts w:ascii="微软雅黑" w:hAnsi="微软雅黑" w:eastAsia="微软雅黑" w:cs="微软雅黑"/>
          <w:color w:val="auto"/>
          <w:sz w:val="32"/>
          <w:szCs w:val="32"/>
          <w:highlight w:val="none"/>
        </w:rPr>
      </w:pPr>
    </w:p>
    <w:p w14:paraId="4E749785">
      <w:pPr>
        <w:pStyle w:val="12"/>
        <w:rPr>
          <w:rFonts w:ascii="微软雅黑" w:hAnsi="微软雅黑" w:eastAsia="微软雅黑" w:cs="微软雅黑"/>
          <w:color w:val="auto"/>
          <w:sz w:val="32"/>
          <w:szCs w:val="32"/>
          <w:highlight w:val="none"/>
        </w:rPr>
      </w:pPr>
    </w:p>
    <w:p w14:paraId="119C8592">
      <w:pPr>
        <w:pStyle w:val="12"/>
        <w:rPr>
          <w:rFonts w:ascii="微软雅黑" w:hAnsi="微软雅黑" w:eastAsia="微软雅黑" w:cs="微软雅黑"/>
          <w:color w:val="auto"/>
          <w:sz w:val="32"/>
          <w:szCs w:val="32"/>
          <w:highlight w:val="none"/>
        </w:rPr>
      </w:pPr>
    </w:p>
    <w:p w14:paraId="77C99085">
      <w:pPr>
        <w:snapToGrid w:val="0"/>
        <w:spacing w:line="396" w:lineRule="atLeast"/>
        <w:jc w:val="center"/>
        <w:rPr>
          <w:rFonts w:ascii="微软雅黑" w:hAnsi="微软雅黑" w:eastAsia="微软雅黑" w:cs="微软雅黑"/>
          <w:color w:val="auto"/>
          <w:spacing w:val="40"/>
          <w:sz w:val="32"/>
          <w:szCs w:val="32"/>
          <w:highlight w:val="none"/>
        </w:rPr>
      </w:pPr>
      <w:r>
        <w:rPr>
          <w:rFonts w:hint="eastAsia" w:ascii="微软雅黑" w:hAnsi="微软雅黑" w:eastAsia="微软雅黑" w:cs="微软雅黑"/>
          <w:color w:val="auto"/>
          <w:spacing w:val="40"/>
          <w:sz w:val="32"/>
          <w:szCs w:val="32"/>
          <w:highlight w:val="none"/>
        </w:rPr>
        <w:t>投 标 文 件</w:t>
      </w:r>
    </w:p>
    <w:p w14:paraId="6CBAD132">
      <w:pPr>
        <w:snapToGrid w:val="0"/>
        <w:spacing w:line="396" w:lineRule="atLeast"/>
        <w:ind w:firstLine="4216"/>
        <w:rPr>
          <w:rFonts w:ascii="微软雅黑" w:hAnsi="微软雅黑" w:eastAsia="微软雅黑" w:cs="微软雅黑"/>
          <w:color w:val="auto"/>
          <w:sz w:val="32"/>
          <w:szCs w:val="32"/>
          <w:highlight w:val="none"/>
        </w:rPr>
      </w:pPr>
    </w:p>
    <w:p w14:paraId="1A53A50B">
      <w:pPr>
        <w:snapToGrid w:val="0"/>
        <w:spacing w:line="396" w:lineRule="atLeast"/>
        <w:ind w:firstLine="4216"/>
        <w:rPr>
          <w:rFonts w:ascii="微软雅黑" w:hAnsi="微软雅黑" w:eastAsia="微软雅黑" w:cs="微软雅黑"/>
          <w:color w:val="auto"/>
          <w:sz w:val="32"/>
          <w:szCs w:val="32"/>
          <w:highlight w:val="none"/>
        </w:rPr>
      </w:pPr>
    </w:p>
    <w:p w14:paraId="74160675">
      <w:pPr>
        <w:jc w:val="center"/>
        <w:rPr>
          <w:rFonts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（招标编号：</w:t>
      </w:r>
      <w:r>
        <w:rPr>
          <w:rFonts w:hint="eastAsia" w:ascii="微软雅黑" w:hAnsi="微软雅黑" w:eastAsia="微软雅黑" w:cs="微软雅黑"/>
          <w:color w:val="auto"/>
          <w:sz w:val="32"/>
          <w:szCs w:val="32"/>
          <w:highlight w:val="none"/>
          <w:u w:val="single"/>
        </w:rPr>
        <w:t xml:space="preserve">   DRY-CG-2025-01</w:t>
      </w:r>
      <w:r>
        <w:rPr>
          <w:rFonts w:hint="eastAsia" w:ascii="微软雅黑" w:hAnsi="微软雅黑" w:eastAsia="微软雅黑" w:cs="微软雅黑"/>
          <w:color w:val="auto"/>
          <w:sz w:val="32"/>
          <w:szCs w:val="32"/>
          <w:highlight w:val="none"/>
          <w:u w:val="single"/>
          <w:lang w:val="en-US" w:eastAsia="zh-CN"/>
        </w:rPr>
        <w:t>4</w:t>
      </w:r>
      <w:r>
        <w:rPr>
          <w:rFonts w:hint="eastAsia" w:ascii="微软雅黑" w:hAnsi="微软雅黑" w:eastAsia="微软雅黑" w:cs="微软雅黑"/>
          <w:color w:val="auto"/>
          <w:sz w:val="32"/>
          <w:szCs w:val="32"/>
          <w:highlight w:val="none"/>
          <w:u w:val="single"/>
        </w:rPr>
        <w:t xml:space="preserve"> </w:t>
      </w:r>
      <w:r>
        <w:rPr>
          <w:rFonts w:hint="eastAsia" w:ascii="微软雅黑" w:hAnsi="微软雅黑" w:eastAsia="微软雅黑" w:cs="微软雅黑"/>
          <w:color w:val="auto"/>
          <w:sz w:val="32"/>
          <w:szCs w:val="32"/>
          <w:highlight w:val="none"/>
        </w:rPr>
        <w:t>）</w:t>
      </w:r>
    </w:p>
    <w:p w14:paraId="532B321C">
      <w:pPr>
        <w:snapToGrid w:val="0"/>
        <w:spacing w:line="396" w:lineRule="atLeast"/>
        <w:ind w:firstLine="1827"/>
        <w:rPr>
          <w:rFonts w:ascii="微软雅黑" w:hAnsi="微软雅黑" w:eastAsia="微软雅黑" w:cs="微软雅黑"/>
          <w:color w:val="auto"/>
          <w:sz w:val="32"/>
          <w:szCs w:val="32"/>
          <w:highlight w:val="none"/>
        </w:rPr>
      </w:pPr>
    </w:p>
    <w:p w14:paraId="2DF16225">
      <w:pPr>
        <w:snapToGrid w:val="0"/>
        <w:spacing w:line="396" w:lineRule="atLeast"/>
        <w:ind w:firstLine="1827"/>
        <w:jc w:val="center"/>
        <w:rPr>
          <w:rFonts w:ascii="微软雅黑" w:hAnsi="微软雅黑" w:eastAsia="微软雅黑" w:cs="微软雅黑"/>
          <w:color w:val="auto"/>
          <w:sz w:val="32"/>
          <w:szCs w:val="32"/>
          <w:highlight w:val="none"/>
        </w:rPr>
      </w:pPr>
    </w:p>
    <w:p w14:paraId="77975404">
      <w:pPr>
        <w:snapToGrid w:val="0"/>
        <w:spacing w:line="396" w:lineRule="atLeast"/>
        <w:jc w:val="center"/>
        <w:rPr>
          <w:rFonts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投 标 人（盖章）：</w:t>
      </w:r>
    </w:p>
    <w:p w14:paraId="744A8D2E">
      <w:pPr>
        <w:snapToGrid w:val="0"/>
        <w:spacing w:line="396" w:lineRule="atLeast"/>
        <w:ind w:firstLine="1827"/>
        <w:jc w:val="center"/>
        <w:rPr>
          <w:rFonts w:ascii="微软雅黑" w:hAnsi="微软雅黑" w:eastAsia="微软雅黑" w:cs="微软雅黑"/>
          <w:color w:val="auto"/>
          <w:sz w:val="32"/>
          <w:szCs w:val="32"/>
          <w:highlight w:val="none"/>
        </w:rPr>
      </w:pPr>
    </w:p>
    <w:p w14:paraId="5E1865CC">
      <w:pPr>
        <w:pStyle w:val="12"/>
        <w:rPr>
          <w:color w:val="auto"/>
          <w:highlight w:val="none"/>
        </w:rPr>
      </w:pPr>
    </w:p>
    <w:p w14:paraId="6832F90D">
      <w:pPr>
        <w:snapToGrid w:val="0"/>
        <w:spacing w:line="396" w:lineRule="atLeast"/>
        <w:jc w:val="center"/>
        <w:rPr>
          <w:rFonts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日    期：</w:t>
      </w:r>
    </w:p>
    <w:p w14:paraId="46BF1EF8">
      <w:pPr>
        <w:snapToGrid w:val="0"/>
        <w:spacing w:line="396" w:lineRule="atLeast"/>
        <w:ind w:firstLine="1827"/>
        <w:jc w:val="center"/>
        <w:rPr>
          <w:rFonts w:ascii="宋体" w:hAnsi="宋体"/>
          <w:b/>
          <w:color w:val="auto"/>
          <w:sz w:val="28"/>
          <w:szCs w:val="28"/>
          <w:highlight w:val="none"/>
        </w:rPr>
      </w:pPr>
    </w:p>
    <w:p w14:paraId="305CC3C1">
      <w:pPr>
        <w:snapToGrid w:val="0"/>
        <w:spacing w:line="396" w:lineRule="atLeast"/>
        <w:ind w:firstLine="1827"/>
        <w:rPr>
          <w:rFonts w:ascii="宋体" w:hAnsi="宋体"/>
          <w:b/>
          <w:color w:val="auto"/>
          <w:sz w:val="28"/>
          <w:szCs w:val="28"/>
          <w:highlight w:val="none"/>
        </w:rPr>
      </w:pPr>
    </w:p>
    <w:p w14:paraId="62C3B3AF">
      <w:pPr>
        <w:pStyle w:val="14"/>
        <w:ind w:firstLine="562"/>
        <w:rPr>
          <w:rFonts w:ascii="宋体" w:hAnsi="宋体"/>
          <w:b/>
          <w:color w:val="auto"/>
          <w:sz w:val="28"/>
          <w:szCs w:val="28"/>
          <w:highlight w:val="none"/>
        </w:rPr>
      </w:pPr>
    </w:p>
    <w:p w14:paraId="4F59AEA1">
      <w:pPr>
        <w:pStyle w:val="14"/>
        <w:ind w:firstLine="562"/>
        <w:rPr>
          <w:rFonts w:ascii="宋体" w:hAnsi="宋体"/>
          <w:b/>
          <w:color w:val="auto"/>
          <w:sz w:val="28"/>
          <w:szCs w:val="28"/>
          <w:highlight w:val="none"/>
        </w:rPr>
      </w:pPr>
    </w:p>
    <w:p w14:paraId="4015A5E2">
      <w:pPr>
        <w:pStyle w:val="14"/>
        <w:ind w:firstLine="562"/>
        <w:rPr>
          <w:rFonts w:ascii="宋体" w:hAnsi="宋体"/>
          <w:b/>
          <w:color w:val="auto"/>
          <w:sz w:val="28"/>
          <w:szCs w:val="28"/>
          <w:highlight w:val="none"/>
        </w:rPr>
      </w:pPr>
    </w:p>
    <w:p w14:paraId="7FBCF362">
      <w:pPr>
        <w:pStyle w:val="14"/>
        <w:ind w:firstLine="562"/>
        <w:rPr>
          <w:rFonts w:ascii="宋体" w:hAnsi="宋体"/>
          <w:b/>
          <w:color w:val="auto"/>
          <w:sz w:val="28"/>
          <w:szCs w:val="28"/>
          <w:highlight w:val="none"/>
        </w:rPr>
      </w:pPr>
    </w:p>
    <w:p w14:paraId="6C1A517C">
      <w:pPr>
        <w:pStyle w:val="14"/>
        <w:ind w:firstLine="562"/>
        <w:rPr>
          <w:rFonts w:ascii="宋体" w:hAnsi="宋体"/>
          <w:b/>
          <w:color w:val="auto"/>
          <w:sz w:val="28"/>
          <w:szCs w:val="28"/>
          <w:highlight w:val="none"/>
        </w:rPr>
      </w:pPr>
    </w:p>
    <w:p w14:paraId="61961DED">
      <w:pPr>
        <w:pStyle w:val="14"/>
        <w:ind w:firstLine="562"/>
        <w:rPr>
          <w:rFonts w:ascii="宋体" w:hAnsi="宋体"/>
          <w:b/>
          <w:color w:val="auto"/>
          <w:sz w:val="28"/>
          <w:szCs w:val="28"/>
          <w:highlight w:val="none"/>
        </w:rPr>
      </w:pPr>
    </w:p>
    <w:p w14:paraId="4940C230">
      <w:pPr>
        <w:ind w:firstLine="2891" w:firstLineChars="900"/>
        <w:rPr>
          <w:rStyle w:val="15"/>
        </w:rPr>
      </w:pPr>
      <w:bookmarkStart w:id="0" w:name="_Toc9147"/>
    </w:p>
    <w:p w14:paraId="3FFA29A5">
      <w:pPr>
        <w:ind w:firstLine="2891" w:firstLineChars="900"/>
        <w:rPr>
          <w:rStyle w:val="15"/>
        </w:rPr>
      </w:pPr>
    </w:p>
    <w:p w14:paraId="2F894650">
      <w:pPr>
        <w:ind w:firstLine="2891" w:firstLineChars="900"/>
        <w:rPr>
          <w:rStyle w:val="15"/>
        </w:rPr>
      </w:pPr>
    </w:p>
    <w:p w14:paraId="6674436E">
      <w:pPr>
        <w:ind w:firstLine="2891" w:firstLineChars="900"/>
        <w:rPr>
          <w:rStyle w:val="15"/>
        </w:rPr>
      </w:pPr>
      <w:r>
        <w:rPr>
          <w:rStyle w:val="15"/>
        </w:rPr>
        <w:t>投标文件目录</w:t>
      </w:r>
    </w:p>
    <w:p w14:paraId="4636163F">
      <w:pPr>
        <w:numPr>
          <w:ilvl w:val="0"/>
          <w:numId w:val="13"/>
        </w:numPr>
        <w:spacing w:line="360" w:lineRule="auto"/>
        <w:rPr>
          <w:sz w:val="28"/>
          <w:szCs w:val="28"/>
        </w:rPr>
      </w:pPr>
      <w:r>
        <w:rPr>
          <w:sz w:val="28"/>
          <w:szCs w:val="28"/>
        </w:rPr>
        <w:t>投标函</w:t>
      </w:r>
    </w:p>
    <w:p w14:paraId="54AE6121">
      <w:pPr>
        <w:spacing w:line="360" w:lineRule="auto"/>
        <w:ind w:left="420"/>
        <w:rPr>
          <w:sz w:val="28"/>
          <w:szCs w:val="28"/>
        </w:rPr>
      </w:pPr>
      <w:r>
        <w:rPr>
          <w:rFonts w:hint="eastAsia"/>
          <w:sz w:val="28"/>
          <w:szCs w:val="28"/>
          <w:lang w:val="en-US" w:eastAsia="zh-CN"/>
        </w:rPr>
        <w:t>二</w:t>
      </w:r>
      <w:r>
        <w:rPr>
          <w:rFonts w:hint="eastAsia"/>
          <w:sz w:val="28"/>
          <w:szCs w:val="28"/>
        </w:rPr>
        <w:t>、谈判响应报价表</w:t>
      </w:r>
    </w:p>
    <w:p w14:paraId="6E716562">
      <w:pPr>
        <w:spacing w:line="360" w:lineRule="auto"/>
        <w:ind w:left="420"/>
        <w:rPr>
          <w:sz w:val="28"/>
          <w:szCs w:val="28"/>
        </w:rPr>
      </w:pPr>
      <w:r>
        <w:rPr>
          <w:rFonts w:hint="eastAsia"/>
          <w:sz w:val="28"/>
          <w:szCs w:val="28"/>
          <w:lang w:val="en-US" w:eastAsia="zh-CN"/>
        </w:rPr>
        <w:t>三</w:t>
      </w:r>
      <w:r>
        <w:rPr>
          <w:rFonts w:hint="eastAsia"/>
          <w:sz w:val="28"/>
          <w:szCs w:val="28"/>
        </w:rPr>
        <w:t>、</w:t>
      </w:r>
      <w:r>
        <w:rPr>
          <w:sz w:val="28"/>
          <w:szCs w:val="28"/>
        </w:rPr>
        <w:t>法定代表人</w:t>
      </w:r>
      <w:r>
        <w:rPr>
          <w:rFonts w:hint="eastAsia"/>
          <w:sz w:val="28"/>
          <w:szCs w:val="28"/>
        </w:rPr>
        <w:t>身份</w:t>
      </w:r>
      <w:r>
        <w:rPr>
          <w:sz w:val="28"/>
          <w:szCs w:val="28"/>
        </w:rPr>
        <w:t>证明书</w:t>
      </w:r>
    </w:p>
    <w:p w14:paraId="15A54940">
      <w:pPr>
        <w:spacing w:line="360" w:lineRule="auto"/>
        <w:ind w:left="420"/>
        <w:rPr>
          <w:sz w:val="28"/>
          <w:szCs w:val="28"/>
        </w:rPr>
      </w:pPr>
      <w:r>
        <w:rPr>
          <w:rFonts w:hint="eastAsia"/>
          <w:sz w:val="28"/>
          <w:szCs w:val="28"/>
          <w:lang w:val="en-US" w:eastAsia="zh-CN"/>
        </w:rPr>
        <w:t>四</w:t>
      </w:r>
      <w:r>
        <w:rPr>
          <w:rFonts w:hint="eastAsia"/>
          <w:sz w:val="28"/>
          <w:szCs w:val="28"/>
        </w:rPr>
        <w:t>、</w:t>
      </w:r>
      <w:r>
        <w:rPr>
          <w:sz w:val="28"/>
          <w:szCs w:val="28"/>
        </w:rPr>
        <w:t>法定代表人授权</w:t>
      </w:r>
      <w:r>
        <w:rPr>
          <w:rFonts w:hint="eastAsia"/>
          <w:sz w:val="28"/>
          <w:szCs w:val="28"/>
        </w:rPr>
        <w:t>委托</w:t>
      </w:r>
      <w:r>
        <w:rPr>
          <w:sz w:val="28"/>
          <w:szCs w:val="28"/>
        </w:rPr>
        <w:t>书</w:t>
      </w:r>
    </w:p>
    <w:p w14:paraId="739BBA39">
      <w:pPr>
        <w:spacing w:line="360" w:lineRule="auto"/>
        <w:ind w:left="420"/>
        <w:rPr>
          <w:sz w:val="28"/>
          <w:szCs w:val="28"/>
        </w:rPr>
      </w:pPr>
      <w:r>
        <w:rPr>
          <w:rFonts w:hint="eastAsia"/>
          <w:sz w:val="28"/>
          <w:szCs w:val="28"/>
          <w:lang w:val="en-US" w:eastAsia="zh-CN"/>
        </w:rPr>
        <w:t>五</w:t>
      </w:r>
      <w:r>
        <w:rPr>
          <w:rFonts w:hint="eastAsia"/>
          <w:sz w:val="28"/>
          <w:szCs w:val="28"/>
        </w:rPr>
        <w:t>、资格审查资料</w:t>
      </w:r>
    </w:p>
    <w:p w14:paraId="43565419">
      <w:pPr>
        <w:spacing w:line="360" w:lineRule="auto"/>
        <w:ind w:left="420"/>
        <w:rPr>
          <w:sz w:val="28"/>
          <w:szCs w:val="28"/>
        </w:rPr>
      </w:pPr>
      <w:r>
        <w:rPr>
          <w:rFonts w:hint="eastAsia"/>
          <w:sz w:val="28"/>
          <w:szCs w:val="28"/>
          <w:lang w:val="en-US" w:eastAsia="zh-CN"/>
        </w:rPr>
        <w:t>六</w:t>
      </w:r>
      <w:r>
        <w:rPr>
          <w:rFonts w:hint="eastAsia"/>
          <w:sz w:val="28"/>
          <w:szCs w:val="28"/>
        </w:rPr>
        <w:t>、</w:t>
      </w:r>
      <w:r>
        <w:rPr>
          <w:sz w:val="28"/>
          <w:szCs w:val="28"/>
        </w:rPr>
        <w:t>技术和服务要求响应</w:t>
      </w:r>
      <w:r>
        <w:rPr>
          <w:rFonts w:hint="eastAsia"/>
          <w:sz w:val="28"/>
          <w:szCs w:val="28"/>
        </w:rPr>
        <w:t>偏离</w:t>
      </w:r>
      <w:r>
        <w:rPr>
          <w:sz w:val="28"/>
          <w:szCs w:val="28"/>
        </w:rPr>
        <w:t>表</w:t>
      </w:r>
    </w:p>
    <w:p w14:paraId="7F1200FA">
      <w:pPr>
        <w:spacing w:line="360" w:lineRule="auto"/>
        <w:ind w:left="420"/>
        <w:rPr>
          <w:sz w:val="28"/>
          <w:szCs w:val="28"/>
        </w:rPr>
      </w:pPr>
      <w:r>
        <w:rPr>
          <w:rFonts w:hint="eastAsia"/>
          <w:sz w:val="28"/>
          <w:szCs w:val="28"/>
          <w:lang w:val="en-US" w:eastAsia="zh-CN"/>
        </w:rPr>
        <w:t>七</w:t>
      </w:r>
      <w:r>
        <w:rPr>
          <w:rFonts w:hint="eastAsia"/>
          <w:sz w:val="28"/>
          <w:szCs w:val="28"/>
        </w:rPr>
        <w:t>、</w:t>
      </w:r>
      <w:r>
        <w:rPr>
          <w:sz w:val="28"/>
          <w:szCs w:val="28"/>
        </w:rPr>
        <w:t>商务响应</w:t>
      </w:r>
      <w:r>
        <w:rPr>
          <w:rFonts w:hint="eastAsia"/>
          <w:sz w:val="28"/>
          <w:szCs w:val="28"/>
        </w:rPr>
        <w:t>偏离</w:t>
      </w:r>
      <w:r>
        <w:rPr>
          <w:sz w:val="28"/>
          <w:szCs w:val="28"/>
        </w:rPr>
        <w:t>表</w:t>
      </w:r>
    </w:p>
    <w:p w14:paraId="352CDDBB">
      <w:pPr>
        <w:rPr>
          <w:rFonts w:cs="宋体"/>
          <w:sz w:val="32"/>
          <w:szCs w:val="32"/>
        </w:rPr>
      </w:pPr>
    </w:p>
    <w:p w14:paraId="1B062407">
      <w:pPr>
        <w:pStyle w:val="2"/>
        <w:spacing w:before="120" w:after="120"/>
        <w:ind w:left="0" w:firstLine="0"/>
        <w:rPr>
          <w:rFonts w:hint="default" w:cs="宋体"/>
          <w:szCs w:val="32"/>
        </w:rPr>
        <w:sectPr>
          <w:pgSz w:w="11906" w:h="16838"/>
          <w:pgMar w:top="1100" w:right="1800" w:bottom="1157" w:left="1800" w:header="851" w:footer="992" w:gutter="0"/>
          <w:cols w:space="425" w:num="1"/>
          <w:docGrid w:type="lines" w:linePitch="312" w:charSpace="0"/>
        </w:sectPr>
      </w:pPr>
    </w:p>
    <w:p w14:paraId="0C919200">
      <w:pPr>
        <w:pStyle w:val="2"/>
        <w:numPr>
          <w:ilvl w:val="0"/>
          <w:numId w:val="0"/>
        </w:numPr>
        <w:spacing w:before="120" w:after="120"/>
        <w:ind w:firstLine="2530" w:firstLineChars="700"/>
        <w:rPr>
          <w:rFonts w:hint="default" w:cs="宋体"/>
          <w:sz w:val="36"/>
          <w:szCs w:val="36"/>
        </w:rPr>
      </w:pPr>
      <w:r>
        <w:rPr>
          <w:rFonts w:cs="宋体"/>
          <w:sz w:val="36"/>
          <w:szCs w:val="36"/>
        </w:rPr>
        <w:t>一、投 标 函</w:t>
      </w:r>
      <w:bookmarkEnd w:id="0"/>
    </w:p>
    <w:p w14:paraId="6E802148">
      <w:pPr>
        <w:rPr>
          <w:sz w:val="28"/>
          <w:szCs w:val="28"/>
        </w:rPr>
      </w:pPr>
      <w:r>
        <w:rPr>
          <w:rFonts w:hint="eastAsia"/>
          <w:sz w:val="28"/>
          <w:szCs w:val="28"/>
          <w:u w:val="single"/>
        </w:rPr>
        <w:t>丹阳市人民医院:</w:t>
      </w:r>
      <w:r>
        <w:rPr>
          <w:rFonts w:hint="eastAsia"/>
          <w:sz w:val="28"/>
          <w:szCs w:val="28"/>
        </w:rPr>
        <w:t xml:space="preserve"> </w:t>
      </w:r>
    </w:p>
    <w:p w14:paraId="1121B4E6">
      <w:pPr>
        <w:rPr>
          <w:sz w:val="28"/>
          <w:szCs w:val="28"/>
        </w:rPr>
      </w:pPr>
      <w:r>
        <w:rPr>
          <w:rFonts w:hint="eastAsia"/>
          <w:sz w:val="28"/>
          <w:szCs w:val="28"/>
        </w:rPr>
        <w:t>1．我方己仔细研究了</w:t>
      </w:r>
      <w:r>
        <w:rPr>
          <w:sz w:val="28"/>
          <w:szCs w:val="28"/>
          <w:u w:val="single"/>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A7B2E9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1A7B2E9C"/>
                  </w:txbxContent>
                </v:textbox>
                <w10:wrap type="none"/>
                <w10:anchorlock/>
              </v:rect>
            </w:pict>
          </mc:Fallback>
        </mc:AlternateContent>
      </w:r>
      <w:r>
        <w:rPr>
          <w:rFonts w:hint="eastAsia" w:ascii="宋体" w:hAnsi="宋体" w:eastAsia="宋体" w:cs="宋体"/>
          <w:sz w:val="28"/>
          <w:szCs w:val="28"/>
          <w:u w:val="single"/>
        </w:rPr>
        <w:t>丹阳市人民医院</w:t>
      </w:r>
      <w:r>
        <w:rPr>
          <w:rFonts w:hint="eastAsia" w:ascii="宋体" w:hAnsi="宋体" w:eastAsia="宋体" w:cs="宋体"/>
          <w:b w:val="0"/>
          <w:bCs w:val="0"/>
          <w:sz w:val="28"/>
          <w:szCs w:val="28"/>
          <w:u w:val="single"/>
          <w:lang w:val="en-US" w:eastAsia="zh-CN"/>
        </w:rPr>
        <w:t>堡垒机采购项目</w:t>
      </w:r>
      <w:r>
        <w:rPr>
          <w:rFonts w:hint="eastAsia" w:ascii="宋体" w:hAnsi="宋体" w:eastAsia="宋体" w:cs="宋体"/>
          <w:sz w:val="28"/>
          <w:szCs w:val="28"/>
          <w:u w:val="none"/>
        </w:rPr>
        <w:t>招</w:t>
      </w:r>
      <w:r>
        <w:rPr>
          <w:rFonts w:hint="eastAsia"/>
          <w:sz w:val="28"/>
          <w:szCs w:val="28"/>
        </w:rPr>
        <w:t>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40070DE9">
      <w:pPr>
        <w:rPr>
          <w:sz w:val="28"/>
          <w:szCs w:val="28"/>
        </w:rPr>
      </w:pPr>
      <w:r>
        <w:rPr>
          <w:rFonts w:hint="eastAsia"/>
          <w:sz w:val="28"/>
          <w:szCs w:val="28"/>
        </w:rPr>
        <w:t>2．我方承诺在招标文件规定的投标有效期内不修改、撤销投标文件。</w:t>
      </w:r>
    </w:p>
    <w:p w14:paraId="4C8C9D92">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13E6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613E66C"/>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5FE40370">
      <w:pPr>
        <w:rPr>
          <w:sz w:val="28"/>
          <w:szCs w:val="28"/>
        </w:rPr>
      </w:pPr>
      <w:r>
        <w:rPr>
          <w:rFonts w:hint="eastAsia"/>
          <w:sz w:val="28"/>
          <w:szCs w:val="28"/>
        </w:rPr>
        <w:t>4．如我方中标：</w:t>
      </w:r>
    </w:p>
    <w:p w14:paraId="029F8A78">
      <w:pPr>
        <w:rPr>
          <w:sz w:val="28"/>
          <w:szCs w:val="28"/>
        </w:rPr>
      </w:pPr>
      <w:r>
        <w:rPr>
          <w:rFonts w:hint="eastAsia"/>
          <w:sz w:val="28"/>
          <w:szCs w:val="28"/>
        </w:rPr>
        <w:t>（1）我方承诺在收到中标通知后，在规定的期限内与你方签订合同。</w:t>
      </w:r>
    </w:p>
    <w:p w14:paraId="2896AE15">
      <w:pPr>
        <w:rPr>
          <w:sz w:val="28"/>
          <w:szCs w:val="28"/>
        </w:rPr>
      </w:pPr>
      <w:r>
        <w:rPr>
          <w:rFonts w:hint="eastAsia"/>
          <w:sz w:val="28"/>
          <w:szCs w:val="28"/>
        </w:rPr>
        <w:t>（2）我方将严格履行本投标文件中的全部承诺和责任，并遵守招标文件中对投标人的所有规定。</w:t>
      </w:r>
    </w:p>
    <w:p w14:paraId="67B17BBA">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568F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9568F46"/>
                  </w:txbxContent>
                </v:textbox>
                <w10:wrap type="none"/>
                <w10:anchorlock/>
              </v:rect>
            </w:pict>
          </mc:Fallback>
        </mc:AlternateContent>
      </w:r>
      <w:r>
        <w:rPr>
          <w:rFonts w:hint="eastAsia"/>
          <w:sz w:val="28"/>
          <w:szCs w:val="28"/>
        </w:rPr>
        <w:t>（其他补充说明）。</w:t>
      </w:r>
    </w:p>
    <w:p w14:paraId="43D98EC7">
      <w:pPr>
        <w:rPr>
          <w:sz w:val="28"/>
          <w:szCs w:val="28"/>
        </w:rPr>
      </w:pPr>
      <w:r>
        <w:rPr>
          <w:rFonts w:hint="eastAsia"/>
          <w:sz w:val="28"/>
          <w:szCs w:val="28"/>
        </w:rPr>
        <w:t> </w:t>
      </w:r>
    </w:p>
    <w:p w14:paraId="555C75CF">
      <w:pPr>
        <w:rPr>
          <w:sz w:val="28"/>
          <w:szCs w:val="28"/>
        </w:rPr>
      </w:pPr>
      <w:r>
        <w:rPr>
          <w:rFonts w:hint="eastAsia"/>
          <w:sz w:val="28"/>
          <w:szCs w:val="28"/>
        </w:rPr>
        <w:t xml:space="preserve">                         投标人(公章)：               </w:t>
      </w:r>
    </w:p>
    <w:p w14:paraId="07621D0A">
      <w:pPr>
        <w:ind w:firstLine="3360" w:firstLineChars="1200"/>
        <w:rPr>
          <w:sz w:val="28"/>
          <w:szCs w:val="28"/>
        </w:rPr>
      </w:pPr>
      <w:r>
        <w:rPr>
          <w:rFonts w:hint="eastAsia"/>
          <w:sz w:val="28"/>
          <w:szCs w:val="28"/>
        </w:rPr>
        <w:t xml:space="preserve">法人代表或授权委托人（签字或印章）：          </w:t>
      </w:r>
    </w:p>
    <w:p w14:paraId="2A7A1AC5">
      <w:pPr>
        <w:ind w:firstLine="3360" w:firstLineChars="1200"/>
        <w:rPr>
          <w:sz w:val="28"/>
          <w:szCs w:val="28"/>
        </w:rPr>
      </w:pPr>
      <w:r>
        <w:rPr>
          <w:rFonts w:hint="eastAsia"/>
          <w:sz w:val="28"/>
          <w:szCs w:val="28"/>
        </w:rPr>
        <w:t xml:space="preserve">日期：               </w:t>
      </w:r>
    </w:p>
    <w:p w14:paraId="3B0780FB">
      <w:pPr>
        <w:snapToGrid w:val="0"/>
        <w:spacing w:line="470" w:lineRule="atLeast"/>
        <w:ind w:left="5680" w:hanging="5074"/>
        <w:rPr>
          <w:rFonts w:ascii="宋体" w:hAnsi="宋体"/>
        </w:rPr>
      </w:pPr>
    </w:p>
    <w:p w14:paraId="00021762">
      <w:pPr>
        <w:snapToGrid w:val="0"/>
        <w:spacing w:line="470" w:lineRule="atLeast"/>
        <w:jc w:val="center"/>
        <w:rPr>
          <w:rFonts w:ascii="宋体" w:hAnsi="宋体"/>
        </w:rPr>
      </w:pPr>
      <w:r>
        <w:rPr>
          <w:rFonts w:ascii="宋体" w:hAnsi="宋体"/>
        </w:rPr>
        <w:br w:type="page"/>
      </w:r>
      <w:bookmarkStart w:id="1" w:name="_Toc26543"/>
    </w:p>
    <w:p w14:paraId="7AAD4A35">
      <w:pPr>
        <w:spacing w:line="480" w:lineRule="auto"/>
        <w:jc w:val="center"/>
        <w:rPr>
          <w:b/>
          <w:bCs/>
          <w:sz w:val="36"/>
        </w:rPr>
      </w:pPr>
      <w:r>
        <w:rPr>
          <w:rFonts w:hint="eastAsia" w:cs="Times New Roman"/>
          <w:b/>
          <w:bCs/>
          <w:sz w:val="28"/>
          <w:szCs w:val="28"/>
          <w:lang w:val="en-US" w:eastAsia="zh-CN"/>
        </w:rPr>
        <w:t>二</w:t>
      </w:r>
      <w:r>
        <w:rPr>
          <w:rFonts w:hint="eastAsia" w:cs="Times New Roman"/>
          <w:b/>
          <w:bCs/>
          <w:sz w:val="28"/>
          <w:szCs w:val="28"/>
        </w:rPr>
        <w:t>、</w:t>
      </w:r>
      <w:r>
        <w:rPr>
          <w:rFonts w:hint="eastAsia" w:ascii="宋体" w:hAnsi="宋体"/>
        </w:rPr>
        <w:t xml:space="preserve"> </w:t>
      </w:r>
      <w:r>
        <w:rPr>
          <w:rFonts w:hint="eastAsia"/>
          <w:b/>
          <w:bCs/>
          <w:sz w:val="32"/>
          <w:szCs w:val="20"/>
        </w:rPr>
        <w:t>谈判响</w:t>
      </w:r>
      <w:r>
        <w:rPr>
          <w:b/>
          <w:bCs/>
          <w:sz w:val="32"/>
          <w:szCs w:val="20"/>
        </w:rPr>
        <w:t>应报价表</w:t>
      </w:r>
      <w:bookmarkEnd w:id="1"/>
    </w:p>
    <w:tbl>
      <w:tblPr>
        <w:tblStyle w:val="9"/>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2647701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A2FBBAF">
            <w:pPr>
              <w:pStyle w:val="17"/>
              <w:rPr>
                <w:sz w:val="24"/>
                <w:szCs w:val="24"/>
              </w:rPr>
            </w:pPr>
            <w:r>
              <w:rPr>
                <w:rFonts w:hint="eastAsia"/>
                <w:color w:val="000000"/>
                <w:sz w:val="24"/>
                <w:szCs w:val="24"/>
                <w:lang w:eastAsia="zh-CN"/>
              </w:rPr>
              <w:t>采购</w:t>
            </w:r>
            <w:r>
              <w:rPr>
                <w:rFonts w:hint="eastAsia"/>
                <w:color w:val="000000"/>
                <w:sz w:val="24"/>
                <w:szCs w:val="24"/>
                <w:lang w:val="en-US" w:eastAsia="zh-CN"/>
              </w:rPr>
              <w:t>单位</w:t>
            </w:r>
            <w:r>
              <w:rPr>
                <w:color w:val="000000"/>
                <w:sz w:val="24"/>
                <w:szCs w:val="24"/>
              </w:rPr>
              <w:t>：丹阳市人民医院</w:t>
            </w:r>
          </w:p>
        </w:tc>
      </w:tr>
      <w:tr w14:paraId="1D14C6DC">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B768C8">
            <w:pPr>
              <w:rPr>
                <w:rFonts w:ascii="华文细黑" w:hAnsi="华文细黑" w:eastAsia="华文细黑" w:cs="华文细黑"/>
                <w:sz w:val="28"/>
                <w:szCs w:val="28"/>
              </w:rPr>
            </w:pPr>
            <w:r>
              <w:rPr>
                <w:rFonts w:hint="eastAsia"/>
                <w:color w:val="000000"/>
                <w:sz w:val="24"/>
                <w:szCs w:val="24"/>
              </w:rPr>
              <w:t>项目</w:t>
            </w:r>
            <w:r>
              <w:rPr>
                <w:color w:val="000000"/>
                <w:sz w:val="24"/>
                <w:szCs w:val="24"/>
              </w:rPr>
              <w:t>名称：</w:t>
            </w:r>
            <w:r>
              <w:rPr>
                <w:rFonts w:hint="eastAsia" w:asciiTheme="minorEastAsia" w:hAnsiTheme="minorEastAsia" w:eastAsiaTheme="minorEastAsia" w:cstheme="minorEastAsia"/>
                <w:b w:val="0"/>
                <w:bCs/>
                <w:sz w:val="24"/>
                <w:szCs w:val="24"/>
                <w:lang w:val="en-US" w:eastAsia="zh-CN"/>
              </w:rPr>
              <w:t>堡垒机</w:t>
            </w:r>
            <w:r>
              <w:rPr>
                <w:rFonts w:hint="eastAsia" w:asciiTheme="minorEastAsia" w:hAnsiTheme="minorEastAsia" w:cstheme="minorEastAsia"/>
                <w:b w:val="0"/>
                <w:bCs/>
                <w:sz w:val="24"/>
                <w:szCs w:val="24"/>
                <w:lang w:val="en-US" w:eastAsia="zh-CN"/>
              </w:rPr>
              <w:t>采购</w:t>
            </w:r>
            <w:r>
              <w:rPr>
                <w:rFonts w:hint="eastAsia" w:asciiTheme="minorEastAsia" w:hAnsiTheme="minorEastAsia" w:eastAsiaTheme="minorEastAsia" w:cstheme="minorEastAsia"/>
                <w:b w:val="0"/>
                <w:bCs/>
                <w:sz w:val="24"/>
                <w:szCs w:val="24"/>
                <w:lang w:val="en-US" w:eastAsia="zh-CN"/>
              </w:rPr>
              <w:t>项目</w:t>
            </w:r>
          </w:p>
          <w:p w14:paraId="64E99A24">
            <w:pPr>
              <w:rPr>
                <w:rFonts w:ascii="宋体" w:hAnsi="宋体" w:cs="宋体"/>
                <w:sz w:val="28"/>
                <w:szCs w:val="28"/>
              </w:rPr>
            </w:pPr>
          </w:p>
          <w:p w14:paraId="084D5BDF">
            <w:pPr>
              <w:pStyle w:val="17"/>
              <w:rPr>
                <w:color w:val="000000"/>
                <w:sz w:val="24"/>
                <w:szCs w:val="24"/>
                <w:lang w:eastAsia="zh-CN"/>
              </w:rPr>
            </w:pPr>
          </w:p>
        </w:tc>
      </w:tr>
      <w:tr w14:paraId="6CE784AD">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83907E8">
            <w:pPr>
              <w:pStyle w:val="17"/>
              <w:rPr>
                <w:color w:val="000000"/>
                <w:sz w:val="24"/>
                <w:szCs w:val="24"/>
                <w:lang w:val="en-US" w:eastAsia="zh-CN"/>
              </w:rPr>
            </w:pPr>
            <w:r>
              <w:rPr>
                <w:rFonts w:hint="eastAsia"/>
                <w:color w:val="000000"/>
                <w:sz w:val="24"/>
                <w:szCs w:val="24"/>
                <w:lang w:val="en-US" w:eastAsia="zh-CN"/>
              </w:rPr>
              <w:t>投标单位（盖章）</w:t>
            </w:r>
          </w:p>
        </w:tc>
      </w:tr>
      <w:tr w14:paraId="7E100E5D">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B2D25B5">
            <w:pPr>
              <w:pStyle w:val="17"/>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33D5A5FD">
            <w:pPr>
              <w:pStyle w:val="17"/>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3226E35E">
            <w:pPr>
              <w:pStyle w:val="17"/>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0809518">
            <w:pPr>
              <w:pStyle w:val="17"/>
              <w:rPr>
                <w:color w:val="000000"/>
                <w:sz w:val="24"/>
                <w:szCs w:val="24"/>
                <w:lang w:val="en-US" w:eastAsia="zh-CN"/>
              </w:rPr>
            </w:pPr>
          </w:p>
        </w:tc>
      </w:tr>
      <w:tr w14:paraId="3CA3A3B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F376177">
            <w:pPr>
              <w:pStyle w:val="17"/>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079939">
            <w:r>
              <w:rPr>
                <w:rFonts w:hint="eastAsia"/>
                <w:color w:val="000000"/>
              </w:rPr>
              <w:t>（大写）：</w:t>
            </w:r>
          </w:p>
        </w:tc>
      </w:tr>
      <w:tr w14:paraId="655E60C4">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52D0A89">
            <w:pPr>
              <w:pStyle w:val="17"/>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85C30D5">
            <w:pPr>
              <w:rPr>
                <w:color w:val="000000"/>
              </w:rPr>
            </w:pPr>
            <w:r>
              <w:rPr>
                <w:rFonts w:hint="eastAsia"/>
                <w:color w:val="000000"/>
              </w:rPr>
              <w:t>（小写）：</w:t>
            </w:r>
          </w:p>
        </w:tc>
      </w:tr>
      <w:tr w14:paraId="06BADE38">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5D84C145">
            <w:pPr>
              <w:pStyle w:val="17"/>
              <w:jc w:val="center"/>
              <w:rPr>
                <w:color w:val="000000"/>
                <w:sz w:val="24"/>
                <w:szCs w:val="24"/>
                <w:lang w:val="en-US" w:eastAsia="zh-CN"/>
              </w:rPr>
            </w:pPr>
            <w:r>
              <w:rPr>
                <w:rFonts w:hint="eastAsia"/>
                <w:color w:val="000000"/>
                <w:sz w:val="24"/>
                <w:szCs w:val="24"/>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97E1DA">
            <w:pPr>
              <w:rPr>
                <w:color w:val="000000"/>
              </w:rPr>
            </w:pPr>
          </w:p>
        </w:tc>
      </w:tr>
    </w:tbl>
    <w:p w14:paraId="25E22D42">
      <w:pPr>
        <w:pStyle w:val="5"/>
        <w:rPr>
          <w:rFonts w:hint="eastAsia" w:ascii="宋体" w:hAnsi="宋体" w:eastAsia="宋体" w:cs="宋体"/>
          <w:lang w:val="en-US" w:eastAsia="zh-CN"/>
        </w:rPr>
      </w:pPr>
      <w:r>
        <w:rPr>
          <w:rFonts w:hint="eastAsia"/>
          <w:lang w:val="en-US" w:eastAsia="zh-CN"/>
        </w:rPr>
        <w:t xml:space="preserve">                     </w:t>
      </w:r>
      <w:r>
        <w:rPr>
          <w:rFonts w:hint="eastAsia" w:ascii="宋体" w:hAnsi="宋体" w:eastAsia="宋体" w:cs="宋体"/>
          <w:lang w:val="en-US" w:eastAsia="zh-CN"/>
        </w:rPr>
        <w:t xml:space="preserve">  </w:t>
      </w:r>
    </w:p>
    <w:p w14:paraId="6A280FC4">
      <w:pPr>
        <w:pStyle w:val="5"/>
      </w:pPr>
      <w:r>
        <w:t>注：</w:t>
      </w:r>
    </w:p>
    <w:p w14:paraId="2DC97276">
      <w:pPr>
        <w:pStyle w:val="5"/>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投标</w:t>
      </w:r>
      <w:r>
        <w:rPr>
          <w:rFonts w:hint="eastAsia" w:ascii="宋体" w:hAnsi="宋体" w:eastAsia="宋体" w:cs="宋体"/>
          <w:b w:val="0"/>
          <w:bCs w:val="0"/>
          <w:sz w:val="24"/>
          <w:szCs w:val="24"/>
          <w:highlight w:val="none"/>
          <w:lang w:eastAsia="zh-CN"/>
        </w:rPr>
        <w:t>人</w:t>
      </w:r>
      <w:r>
        <w:rPr>
          <w:rFonts w:hint="eastAsia" w:ascii="宋体" w:hAnsi="宋体" w:eastAsia="宋体" w:cs="宋体"/>
          <w:b w:val="0"/>
          <w:bCs w:val="0"/>
          <w:sz w:val="24"/>
          <w:szCs w:val="24"/>
          <w:highlight w:val="none"/>
        </w:rPr>
        <w:t>必须据实填写</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rPr>
        <w:t>表</w:t>
      </w:r>
      <w:r>
        <w:rPr>
          <w:rFonts w:hint="eastAsia" w:ascii="宋体" w:hAnsi="宋体" w:eastAsia="宋体" w:cs="宋体"/>
          <w:b w:val="0"/>
          <w:bCs w:val="0"/>
          <w:sz w:val="24"/>
          <w:szCs w:val="24"/>
          <w:highlight w:val="none"/>
          <w:lang w:val="en-US" w:eastAsia="zh-CN"/>
        </w:rPr>
        <w:t>与</w:t>
      </w:r>
      <w:r>
        <w:rPr>
          <w:rFonts w:hint="eastAsia" w:ascii="宋体" w:hAnsi="宋体" w:eastAsia="宋体" w:cs="宋体"/>
          <w:bCs/>
          <w:sz w:val="24"/>
          <w:szCs w:val="24"/>
          <w:highlight w:val="none"/>
          <w:lang w:val="en-US" w:eastAsia="zh-CN"/>
        </w:rPr>
        <w:t>分项</w:t>
      </w:r>
      <w:r>
        <w:rPr>
          <w:rFonts w:hint="eastAsia" w:ascii="宋体" w:hAnsi="宋体" w:eastAsia="宋体" w:cs="宋体"/>
          <w:sz w:val="24"/>
          <w:szCs w:val="24"/>
          <w:highlight w:val="none"/>
          <w:lang w:val="en-US" w:eastAsia="zh-CN"/>
        </w:rPr>
        <w:t>报价明细表</w:t>
      </w:r>
      <w:r>
        <w:rPr>
          <w:rFonts w:hint="eastAsia" w:ascii="宋体" w:hAnsi="宋体" w:eastAsia="宋体" w:cs="宋体"/>
          <w:b w:val="0"/>
          <w:bCs w:val="0"/>
          <w:sz w:val="24"/>
          <w:szCs w:val="24"/>
          <w:highlight w:val="none"/>
          <w:lang w:eastAsia="zh-CN"/>
        </w:rPr>
        <w:t>。</w:t>
      </w:r>
    </w:p>
    <w:p w14:paraId="4366E887">
      <w:pPr>
        <w:pStyle w:val="5"/>
        <w:ind w:left="0" w:leftChars="0"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color w:val="000000"/>
          <w:kern w:val="0"/>
          <w:sz w:val="24"/>
          <w:szCs w:val="24"/>
          <w:highlight w:val="none"/>
          <w:lang w:val="en-US" w:eastAsia="zh-CN" w:bidi="ar"/>
        </w:rPr>
        <w:t>总报价包含</w:t>
      </w:r>
      <w:r>
        <w:rPr>
          <w:rFonts w:hint="eastAsia" w:asciiTheme="minorEastAsia" w:hAnsiTheme="minorEastAsia" w:eastAsiaTheme="minorEastAsia" w:cstheme="minorEastAsia"/>
          <w:b w:val="0"/>
          <w:bCs/>
          <w:sz w:val="24"/>
          <w:szCs w:val="24"/>
          <w:lang w:val="en-US" w:eastAsia="zh-CN"/>
        </w:rPr>
        <w:t>堡垒机采购及迁移</w:t>
      </w:r>
      <w:r>
        <w:rPr>
          <w:rFonts w:hint="eastAsia" w:ascii="宋体" w:hAnsi="宋体" w:eastAsia="宋体" w:cs="宋体"/>
          <w:color w:val="000000"/>
          <w:kern w:val="0"/>
          <w:sz w:val="24"/>
          <w:szCs w:val="24"/>
          <w:highlight w:val="none"/>
          <w:lang w:val="en-US" w:eastAsia="zh-CN" w:bidi="ar"/>
        </w:rPr>
        <w:t>项目</w:t>
      </w:r>
      <w:r>
        <w:rPr>
          <w:rFonts w:hint="eastAsia" w:ascii="宋体" w:hAnsi="宋体" w:eastAsia="宋体" w:cs="宋体"/>
          <w:b w:val="0"/>
          <w:bCs w:val="0"/>
          <w:sz w:val="24"/>
          <w:szCs w:val="24"/>
          <w:highlight w:val="none"/>
          <w:lang w:val="en-US" w:eastAsia="zh-CN"/>
        </w:rPr>
        <w:t>所有</w:t>
      </w:r>
      <w:r>
        <w:rPr>
          <w:rFonts w:hint="eastAsia" w:ascii="宋体" w:hAnsi="宋体" w:eastAsia="宋体" w:cs="宋体"/>
          <w:b w:val="0"/>
          <w:bCs w:val="0"/>
          <w:sz w:val="24"/>
          <w:szCs w:val="24"/>
          <w:highlight w:val="none"/>
        </w:rPr>
        <w:t>范围内的全部内容，含税。</w:t>
      </w:r>
    </w:p>
    <w:p w14:paraId="2F36F530">
      <w:pPr>
        <w:pStyle w:val="12"/>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color w:val="000000"/>
          <w:kern w:val="0"/>
          <w:sz w:val="24"/>
          <w:szCs w:val="24"/>
          <w:highlight w:val="none"/>
        </w:rPr>
        <w:t>采用人民币报价，以元为单位标注。</w:t>
      </w:r>
    </w:p>
    <w:p w14:paraId="34F2F399">
      <w:pPr>
        <w:pStyle w:val="5"/>
        <w:ind w:left="0" w:leftChars="0"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4.报价保留至小数点后两位，四舍五入。</w:t>
      </w:r>
    </w:p>
    <w:p w14:paraId="11E544DB">
      <w:pPr>
        <w:rPr>
          <w:b/>
          <w:bCs/>
          <w:sz w:val="24"/>
          <w:szCs w:val="24"/>
          <w:highlight w:val="none"/>
        </w:rPr>
      </w:pPr>
      <w:r>
        <w:rPr>
          <w:rFonts w:hint="eastAsia"/>
          <w:b/>
          <w:bCs/>
          <w:sz w:val="24"/>
          <w:szCs w:val="24"/>
          <w:highlight w:val="none"/>
        </w:rPr>
        <w:br w:type="page"/>
      </w:r>
      <w:bookmarkStart w:id="2" w:name="_Toc26951"/>
    </w:p>
    <w:p w14:paraId="4F9A8701">
      <w:pPr>
        <w:pStyle w:val="8"/>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lang w:val="en-US" w:eastAsia="zh-CN"/>
        </w:rPr>
        <w:t>三</w:t>
      </w:r>
      <w:r>
        <w:rPr>
          <w:rFonts w:hint="eastAsia"/>
          <w:b/>
          <w:bCs/>
          <w:color w:val="000000"/>
          <w:sz w:val="32"/>
          <w:szCs w:val="32"/>
        </w:rPr>
        <w:t>、法定代表人身份证明</w:t>
      </w:r>
      <w:bookmarkEnd w:id="2"/>
      <w:r>
        <w:rPr>
          <w:rFonts w:hint="eastAsia"/>
          <w:b/>
          <w:bCs/>
          <w:color w:val="000000"/>
          <w:sz w:val="32"/>
          <w:szCs w:val="32"/>
        </w:rPr>
        <w:t>书</w:t>
      </w:r>
    </w:p>
    <w:p w14:paraId="6403CCC3">
      <w:pPr>
        <w:pStyle w:val="8"/>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5D61AD70">
      <w:pPr>
        <w:pStyle w:val="8"/>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1050CF5">
      <w:pPr>
        <w:pStyle w:val="8"/>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0B231E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0B231E0"/>
                  </w:txbxContent>
                </v:textbox>
                <w10:wrap type="none"/>
                <w10:anchorlock/>
              </v:rect>
            </w:pict>
          </mc:Fallback>
        </mc:AlternateContent>
      </w:r>
      <w:r>
        <w:rPr>
          <w:rFonts w:hint="eastAsia"/>
          <w:color w:val="000000"/>
          <w:sz w:val="28"/>
          <w:szCs w:val="28"/>
          <w:u w:val="single"/>
        </w:rPr>
        <w:t xml:space="preserve">                                      </w:t>
      </w:r>
    </w:p>
    <w:p w14:paraId="23232593">
      <w:pPr>
        <w:pStyle w:val="8"/>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5B364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D5B3645"/>
                  </w:txbxContent>
                </v:textbox>
                <w10:wrap type="none"/>
                <w10:anchorlock/>
              </v:rect>
            </w:pict>
          </mc:Fallback>
        </mc:AlternateContent>
      </w:r>
      <w:r>
        <w:rPr>
          <w:rFonts w:hint="eastAsia"/>
          <w:color w:val="000000"/>
          <w:sz w:val="28"/>
          <w:szCs w:val="28"/>
          <w:u w:val="single"/>
        </w:rPr>
        <w:t xml:space="preserve">                                      </w:t>
      </w:r>
    </w:p>
    <w:p w14:paraId="55A4EF79">
      <w:pPr>
        <w:pStyle w:val="8"/>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602D8E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4602D8E8"/>
                  </w:txbxContent>
                </v:textbox>
                <w10:wrap type="none"/>
                <w10:anchorlock/>
              </v:rect>
            </w:pict>
          </mc:Fallback>
        </mc:AlternateContent>
      </w:r>
      <w:r>
        <w:rPr>
          <w:rFonts w:hint="eastAsia"/>
          <w:color w:val="000000"/>
          <w:sz w:val="28"/>
          <w:szCs w:val="28"/>
          <w:u w:val="single"/>
        </w:rPr>
        <w:t xml:space="preserve">                                      </w:t>
      </w:r>
    </w:p>
    <w:p w14:paraId="42520E07">
      <w:pPr>
        <w:pStyle w:val="8"/>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02679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602679A"/>
                  </w:txbxContent>
                </v:textbox>
                <w10:wrap type="none"/>
                <w10:anchorlock/>
              </v:rect>
            </w:pict>
          </mc:Fallback>
        </mc:AlternateContent>
      </w:r>
      <w:r>
        <w:rPr>
          <w:rFonts w:hint="eastAsia"/>
          <w:color w:val="000000"/>
          <w:sz w:val="28"/>
          <w:szCs w:val="28"/>
          <w:u w:val="single"/>
        </w:rPr>
        <w:t xml:space="preserve">                     </w:t>
      </w:r>
    </w:p>
    <w:p w14:paraId="773F20E1">
      <w:pPr>
        <w:pStyle w:val="8"/>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C7208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C720870"/>
                  </w:txbxContent>
                </v:textbox>
                <w10:wrap type="none"/>
                <w10:anchorlock/>
              </v:rect>
            </w:pict>
          </mc:Fallback>
        </mc:AlternateContent>
      </w:r>
      <w:r>
        <w:rPr>
          <w:rFonts w:hint="eastAsia"/>
          <w:color w:val="000000"/>
          <w:sz w:val="28"/>
          <w:szCs w:val="28"/>
          <w:u w:val="single"/>
        </w:rPr>
        <w:t xml:space="preserve">                     </w:t>
      </w:r>
    </w:p>
    <w:p w14:paraId="23FA3FB6">
      <w:pPr>
        <w:pStyle w:val="8"/>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326287E4">
      <w:pPr>
        <w:pStyle w:val="8"/>
        <w:spacing w:line="206" w:lineRule="atLeast"/>
        <w:ind w:firstLine="567"/>
        <w:jc w:val="both"/>
        <w:rPr>
          <w:color w:val="000000"/>
          <w:sz w:val="28"/>
          <w:szCs w:val="28"/>
        </w:rPr>
      </w:pPr>
      <w:r>
        <w:rPr>
          <w:rFonts w:hint="eastAsia"/>
          <w:color w:val="000000"/>
          <w:sz w:val="28"/>
          <w:szCs w:val="28"/>
        </w:rPr>
        <w:t>特此证明。</w:t>
      </w:r>
    </w:p>
    <w:p w14:paraId="6D6E6F32">
      <w:pPr>
        <w:pStyle w:val="8"/>
        <w:spacing w:line="206" w:lineRule="atLeast"/>
        <w:ind w:firstLine="567"/>
        <w:jc w:val="both"/>
        <w:rPr>
          <w:color w:val="000000"/>
          <w:sz w:val="28"/>
          <w:szCs w:val="28"/>
        </w:rPr>
      </w:pPr>
    </w:p>
    <w:p w14:paraId="25281F5D">
      <w:pPr>
        <w:pStyle w:val="8"/>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4D89A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4D89AB4"/>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6DB0FFC7">
      <w:pPr>
        <w:pStyle w:val="8"/>
        <w:spacing w:line="206" w:lineRule="atLeast"/>
        <w:ind w:firstLine="567"/>
        <w:jc w:val="center"/>
        <w:rPr>
          <w:color w:val="000000"/>
          <w:sz w:val="28"/>
          <w:szCs w:val="28"/>
        </w:rPr>
      </w:pPr>
    </w:p>
    <w:p w14:paraId="170013AA">
      <w:pPr>
        <w:pStyle w:val="8"/>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A6BFA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1A6BFA8"/>
                  </w:txbxContent>
                </v:textbox>
                <w10:wrap type="none"/>
                <w10:anchorlock/>
              </v:rect>
            </w:pict>
          </mc:Fallback>
        </mc:AlternateContent>
      </w:r>
      <w:r>
        <w:rPr>
          <w:rFonts w:hint="eastAsia"/>
          <w:color w:val="000000"/>
          <w:sz w:val="28"/>
          <w:szCs w:val="28"/>
          <w:u w:val="single"/>
        </w:rPr>
        <w:t xml:space="preserve">                         </w:t>
      </w:r>
    </w:p>
    <w:p w14:paraId="4411018B">
      <w:pPr>
        <w:pStyle w:val="8"/>
        <w:spacing w:line="206" w:lineRule="atLeast"/>
        <w:ind w:firstLine="567"/>
        <w:jc w:val="center"/>
        <w:rPr>
          <w:color w:val="000000"/>
          <w:sz w:val="28"/>
          <w:szCs w:val="28"/>
          <w:u w:val="single"/>
        </w:rPr>
      </w:pPr>
    </w:p>
    <w:p w14:paraId="7E87B7BA">
      <w:pPr>
        <w:pStyle w:val="2"/>
        <w:numPr>
          <w:ilvl w:val="0"/>
          <w:numId w:val="0"/>
        </w:numPr>
        <w:spacing w:before="240" w:after="60"/>
        <w:rPr>
          <w:rFonts w:hint="default" w:cs="宋体"/>
          <w:szCs w:val="32"/>
        </w:rPr>
      </w:pPr>
      <w:bookmarkStart w:id="3" w:name="_Toc10458"/>
    </w:p>
    <w:p w14:paraId="29788408">
      <w:pPr>
        <w:pStyle w:val="2"/>
        <w:numPr>
          <w:ilvl w:val="0"/>
          <w:numId w:val="0"/>
        </w:numPr>
        <w:spacing w:before="240" w:after="60"/>
        <w:ind w:firstLine="1807" w:firstLineChars="500"/>
        <w:rPr>
          <w:rFonts w:hint="default" w:cs="宋体"/>
          <w:sz w:val="36"/>
          <w:szCs w:val="36"/>
        </w:rPr>
      </w:pPr>
      <w:r>
        <w:rPr>
          <w:rFonts w:hint="eastAsia" w:cs="宋体"/>
          <w:sz w:val="36"/>
          <w:szCs w:val="36"/>
          <w:lang w:val="en-US" w:eastAsia="zh-CN"/>
        </w:rPr>
        <w:t>四</w:t>
      </w:r>
      <w:r>
        <w:rPr>
          <w:rFonts w:cs="宋体"/>
          <w:sz w:val="36"/>
          <w:szCs w:val="36"/>
        </w:rPr>
        <w:t>、法定代表人授权委托书</w:t>
      </w:r>
      <w:bookmarkEnd w:id="3"/>
    </w:p>
    <w:p w14:paraId="1EA008BA">
      <w:pPr>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D01BF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9D01BF1"/>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F52F0D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2F52F0DB"/>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asciiTheme="minorEastAsia" w:hAnsiTheme="minorEastAsia" w:eastAsiaTheme="minorEastAsia" w:cstheme="minorEastAsia"/>
          <w:b w:val="0"/>
          <w:bCs/>
          <w:sz w:val="28"/>
          <w:szCs w:val="28"/>
          <w:u w:val="single"/>
        </w:rPr>
        <w:t>丹阳市人民医院</w:t>
      </w:r>
      <w:r>
        <w:rPr>
          <w:rFonts w:hint="eastAsia" w:asciiTheme="minorEastAsia" w:hAnsiTheme="minorEastAsia" w:eastAsiaTheme="minorEastAsia" w:cstheme="minorEastAsia"/>
          <w:b w:val="0"/>
          <w:bCs/>
          <w:sz w:val="28"/>
          <w:szCs w:val="28"/>
          <w:u w:val="single"/>
          <w:lang w:val="en-US" w:eastAsia="zh-CN"/>
        </w:rPr>
        <w:t>堡垒机</w:t>
      </w:r>
      <w:r>
        <w:rPr>
          <w:rFonts w:hint="eastAsia" w:asciiTheme="minorEastAsia" w:hAnsiTheme="minorEastAsia" w:cstheme="minorEastAsia"/>
          <w:b w:val="0"/>
          <w:bCs/>
          <w:sz w:val="28"/>
          <w:szCs w:val="28"/>
          <w:u w:val="single"/>
          <w:lang w:val="en-US" w:eastAsia="zh-CN"/>
        </w:rPr>
        <w:t>采购</w:t>
      </w:r>
      <w:r>
        <w:rPr>
          <w:rFonts w:hint="eastAsia" w:asciiTheme="minorEastAsia" w:hAnsiTheme="minorEastAsia" w:eastAsiaTheme="minorEastAsia" w:cstheme="minorEastAsia"/>
          <w:b w:val="0"/>
          <w:bCs/>
          <w:sz w:val="28"/>
          <w:szCs w:val="28"/>
          <w:u w:val="single"/>
          <w:lang w:val="en-US" w:eastAsia="zh-CN"/>
        </w:rPr>
        <w:t>项目</w:t>
      </w:r>
      <w:r>
        <w:rPr>
          <w:rFonts w:hint="eastAsia"/>
          <w:color w:val="000000"/>
          <w:sz w:val="28"/>
          <w:szCs w:val="28"/>
        </w:rPr>
        <w:t>投标文件、签订合同和处理有关事宜，其法律后果由我方承担。</w:t>
      </w:r>
    </w:p>
    <w:p w14:paraId="2B3D3C6B">
      <w:pPr>
        <w:pStyle w:val="8"/>
        <w:spacing w:line="206" w:lineRule="atLeast"/>
        <w:ind w:firstLine="560" w:firstLineChars="200"/>
        <w:jc w:val="both"/>
        <w:rPr>
          <w:color w:val="000000"/>
          <w:sz w:val="28"/>
          <w:szCs w:val="28"/>
        </w:rPr>
      </w:pPr>
      <w:r>
        <w:rPr>
          <w:rFonts w:hint="eastAsia"/>
          <w:color w:val="000000"/>
          <w:sz w:val="28"/>
          <w:szCs w:val="28"/>
        </w:rPr>
        <w:t>委托期限：</w:t>
      </w:r>
    </w:p>
    <w:p w14:paraId="55ED06F0">
      <w:pPr>
        <w:pStyle w:val="8"/>
        <w:spacing w:line="206" w:lineRule="atLeast"/>
        <w:ind w:firstLine="567"/>
        <w:jc w:val="both"/>
        <w:rPr>
          <w:color w:val="000000"/>
          <w:sz w:val="28"/>
          <w:szCs w:val="28"/>
        </w:rPr>
      </w:pPr>
      <w:r>
        <w:rPr>
          <w:rFonts w:hint="eastAsia"/>
          <w:color w:val="000000"/>
          <w:sz w:val="28"/>
          <w:szCs w:val="28"/>
        </w:rPr>
        <w:t>代理人无转委托权。</w:t>
      </w:r>
    </w:p>
    <w:p w14:paraId="772FB481">
      <w:pPr>
        <w:pStyle w:val="8"/>
        <w:spacing w:line="206" w:lineRule="atLeast"/>
        <w:ind w:firstLine="567"/>
        <w:jc w:val="both"/>
        <w:rPr>
          <w:color w:val="000000"/>
          <w:sz w:val="28"/>
          <w:szCs w:val="28"/>
        </w:rPr>
      </w:pPr>
      <w:r>
        <w:rPr>
          <w:rFonts w:hint="eastAsia"/>
          <w:color w:val="000000"/>
          <w:sz w:val="28"/>
          <w:szCs w:val="28"/>
        </w:rPr>
        <w:t>附：法定代表人身份证明</w:t>
      </w:r>
    </w:p>
    <w:p w14:paraId="5F0A83D2">
      <w:pPr>
        <w:pStyle w:val="8"/>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EFAB6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1BEFAB69"/>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33A9C770">
      <w:pPr>
        <w:pStyle w:val="8"/>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0A9A6F4C">
      <w:pPr>
        <w:pStyle w:val="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0249EE5A">
      <w:pPr>
        <w:pStyle w:val="8"/>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19E6D528">
      <w:pPr>
        <w:pStyle w:val="8"/>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7B1ACB12">
      <w:pPr>
        <w:pStyle w:val="8"/>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368997B5">
      <w:pPr>
        <w:pStyle w:val="8"/>
        <w:spacing w:line="100" w:lineRule="atLeast"/>
        <w:ind w:firstLine="567"/>
        <w:jc w:val="both"/>
        <w:rPr>
          <w:color w:val="000000"/>
        </w:rPr>
      </w:pPr>
    </w:p>
    <w:p w14:paraId="6D72D0AA">
      <w:pPr>
        <w:pStyle w:val="2"/>
        <w:numPr>
          <w:ilvl w:val="0"/>
          <w:numId w:val="0"/>
        </w:numPr>
        <w:rPr>
          <w:rFonts w:hint="default"/>
        </w:rPr>
      </w:pPr>
      <w:bookmarkStart w:id="4" w:name="_Toc28085"/>
      <w:bookmarkStart w:id="5" w:name="_Toc18040"/>
    </w:p>
    <w:p w14:paraId="1DC7B2A2"/>
    <w:p w14:paraId="794F55A9">
      <w:pPr>
        <w:pStyle w:val="2"/>
        <w:numPr>
          <w:ilvl w:val="0"/>
          <w:numId w:val="0"/>
        </w:numPr>
        <w:spacing w:before="240" w:after="60"/>
        <w:ind w:firstLine="2570" w:firstLineChars="800"/>
        <w:rPr>
          <w:rFonts w:hint="default" w:cs="宋体"/>
          <w:sz w:val="32"/>
          <w:szCs w:val="32"/>
        </w:rPr>
      </w:pPr>
      <w:r>
        <w:rPr>
          <w:rFonts w:hint="eastAsia" w:cs="宋体"/>
          <w:sz w:val="32"/>
          <w:szCs w:val="32"/>
          <w:lang w:val="en-US" w:eastAsia="zh-CN"/>
        </w:rPr>
        <w:t>五</w:t>
      </w:r>
      <w:r>
        <w:rPr>
          <w:rFonts w:cs="宋体"/>
          <w:sz w:val="32"/>
          <w:szCs w:val="32"/>
        </w:rPr>
        <w:t>、资格审查资料</w:t>
      </w:r>
    </w:p>
    <w:p w14:paraId="482D8137">
      <w:pPr>
        <w:pStyle w:val="5"/>
        <w:numPr>
          <w:ilvl w:val="0"/>
          <w:numId w:val="14"/>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9"/>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712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3A01C8">
            <w:pPr>
              <w:jc w:val="center"/>
              <w:textAlignment w:val="center"/>
              <w:rPr>
                <w:rFonts w:ascii="宋体" w:hAnsi="宋体" w:cs="宋体"/>
              </w:rPr>
            </w:pPr>
            <w:r>
              <w:rPr>
                <w:rFonts w:hint="eastAsia" w:ascii="宋体" w:hAnsi="宋体" w:cs="宋体"/>
              </w:rPr>
              <w:t>投标供应商</w:t>
            </w:r>
          </w:p>
          <w:p w14:paraId="6AFAA763">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41EBD3F5">
            <w:pPr>
              <w:jc w:val="center"/>
              <w:rPr>
                <w:rFonts w:ascii="宋体" w:hAnsi="宋体" w:cs="宋体"/>
              </w:rPr>
            </w:pPr>
          </w:p>
        </w:tc>
      </w:tr>
      <w:tr w14:paraId="1F5B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6D56EF56">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5239A142">
            <w:pPr>
              <w:jc w:val="center"/>
              <w:rPr>
                <w:rFonts w:ascii="宋体" w:hAnsi="宋体" w:cs="宋体"/>
              </w:rPr>
            </w:pPr>
          </w:p>
        </w:tc>
        <w:tc>
          <w:tcPr>
            <w:tcW w:w="1350" w:type="dxa"/>
            <w:tcBorders>
              <w:tl2br w:val="nil"/>
              <w:tr2bl w:val="nil"/>
            </w:tcBorders>
            <w:noWrap/>
            <w:vAlign w:val="center"/>
          </w:tcPr>
          <w:p w14:paraId="0426DEA5">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361AF40E">
            <w:pPr>
              <w:jc w:val="center"/>
              <w:rPr>
                <w:rFonts w:ascii="宋体" w:hAnsi="宋体" w:cs="宋体"/>
              </w:rPr>
            </w:pPr>
          </w:p>
        </w:tc>
      </w:tr>
      <w:tr w14:paraId="6D82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17EDED10">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758C9612">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36C40BDF">
            <w:pPr>
              <w:jc w:val="center"/>
              <w:rPr>
                <w:rFonts w:ascii="宋体" w:hAnsi="宋体" w:cs="宋体"/>
              </w:rPr>
            </w:pPr>
          </w:p>
        </w:tc>
        <w:tc>
          <w:tcPr>
            <w:tcW w:w="1350" w:type="dxa"/>
            <w:tcBorders>
              <w:tl2br w:val="nil"/>
              <w:tr2bl w:val="nil"/>
            </w:tcBorders>
            <w:noWrap/>
            <w:vAlign w:val="center"/>
          </w:tcPr>
          <w:p w14:paraId="06FD3419">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0C3DBA8E">
            <w:pPr>
              <w:jc w:val="center"/>
              <w:rPr>
                <w:rFonts w:ascii="宋体" w:hAnsi="宋体" w:cs="宋体"/>
              </w:rPr>
            </w:pPr>
          </w:p>
        </w:tc>
      </w:tr>
      <w:tr w14:paraId="15D2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565F0497">
            <w:pPr>
              <w:jc w:val="center"/>
              <w:rPr>
                <w:rFonts w:ascii="宋体" w:hAnsi="宋体" w:cs="宋体"/>
              </w:rPr>
            </w:pPr>
          </w:p>
        </w:tc>
        <w:tc>
          <w:tcPr>
            <w:tcW w:w="1000" w:type="dxa"/>
            <w:tcBorders>
              <w:tl2br w:val="nil"/>
              <w:tr2bl w:val="nil"/>
            </w:tcBorders>
            <w:noWrap/>
            <w:vAlign w:val="center"/>
          </w:tcPr>
          <w:p w14:paraId="348395FA">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276A643C">
            <w:pPr>
              <w:jc w:val="center"/>
              <w:rPr>
                <w:rFonts w:ascii="宋体" w:hAnsi="宋体" w:cs="宋体"/>
              </w:rPr>
            </w:pPr>
          </w:p>
        </w:tc>
        <w:tc>
          <w:tcPr>
            <w:tcW w:w="1350" w:type="dxa"/>
            <w:tcBorders>
              <w:tl2br w:val="nil"/>
              <w:tr2bl w:val="nil"/>
            </w:tcBorders>
            <w:noWrap/>
            <w:vAlign w:val="center"/>
          </w:tcPr>
          <w:p w14:paraId="2203605C">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006F4556">
            <w:pPr>
              <w:jc w:val="center"/>
              <w:rPr>
                <w:rFonts w:ascii="宋体" w:hAnsi="宋体" w:cs="宋体"/>
              </w:rPr>
            </w:pPr>
          </w:p>
        </w:tc>
      </w:tr>
      <w:tr w14:paraId="2667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82C77D3">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07EB992A">
            <w:pPr>
              <w:jc w:val="center"/>
              <w:rPr>
                <w:rFonts w:ascii="宋体" w:hAnsi="宋体" w:cs="宋体"/>
              </w:rPr>
            </w:pPr>
          </w:p>
        </w:tc>
      </w:tr>
      <w:tr w14:paraId="23C5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E3403A4">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3EB2F7D2">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3950E712">
            <w:pPr>
              <w:jc w:val="center"/>
              <w:rPr>
                <w:rFonts w:ascii="宋体" w:hAnsi="宋体" w:cs="宋体"/>
              </w:rPr>
            </w:pPr>
          </w:p>
        </w:tc>
        <w:tc>
          <w:tcPr>
            <w:tcW w:w="1350" w:type="dxa"/>
            <w:tcBorders>
              <w:tl2br w:val="nil"/>
              <w:tr2bl w:val="nil"/>
            </w:tcBorders>
            <w:noWrap/>
            <w:vAlign w:val="center"/>
          </w:tcPr>
          <w:p w14:paraId="7591351F">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A8B92E6">
            <w:pPr>
              <w:jc w:val="center"/>
              <w:rPr>
                <w:rFonts w:ascii="宋体" w:hAnsi="宋体" w:cs="宋体"/>
              </w:rPr>
            </w:pPr>
          </w:p>
        </w:tc>
        <w:tc>
          <w:tcPr>
            <w:tcW w:w="800" w:type="dxa"/>
            <w:tcBorders>
              <w:tl2br w:val="nil"/>
              <w:tr2bl w:val="nil"/>
            </w:tcBorders>
            <w:noWrap/>
            <w:vAlign w:val="center"/>
          </w:tcPr>
          <w:p w14:paraId="675F7AF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01C499D3">
            <w:pPr>
              <w:rPr>
                <w:rFonts w:ascii="宋体" w:hAnsi="宋体" w:cs="宋体"/>
              </w:rPr>
            </w:pPr>
          </w:p>
        </w:tc>
      </w:tr>
      <w:tr w14:paraId="4780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FBC490">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056450BB">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28ACE33C">
            <w:pPr>
              <w:jc w:val="center"/>
              <w:rPr>
                <w:rFonts w:ascii="宋体" w:hAnsi="宋体" w:cs="宋体"/>
              </w:rPr>
            </w:pPr>
          </w:p>
        </w:tc>
        <w:tc>
          <w:tcPr>
            <w:tcW w:w="1350" w:type="dxa"/>
            <w:tcBorders>
              <w:tl2br w:val="nil"/>
              <w:tr2bl w:val="nil"/>
            </w:tcBorders>
            <w:noWrap/>
            <w:vAlign w:val="center"/>
          </w:tcPr>
          <w:p w14:paraId="0B094951">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56034696">
            <w:pPr>
              <w:jc w:val="center"/>
              <w:rPr>
                <w:rFonts w:ascii="宋体" w:hAnsi="宋体" w:cs="宋体"/>
              </w:rPr>
            </w:pPr>
          </w:p>
        </w:tc>
        <w:tc>
          <w:tcPr>
            <w:tcW w:w="800" w:type="dxa"/>
            <w:tcBorders>
              <w:tl2br w:val="nil"/>
              <w:tr2bl w:val="nil"/>
            </w:tcBorders>
            <w:noWrap/>
            <w:vAlign w:val="center"/>
          </w:tcPr>
          <w:p w14:paraId="350D7CC5">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40650542">
            <w:pPr>
              <w:rPr>
                <w:rFonts w:ascii="宋体" w:hAnsi="宋体" w:cs="宋体"/>
              </w:rPr>
            </w:pPr>
          </w:p>
        </w:tc>
      </w:tr>
      <w:tr w14:paraId="290B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BD07043">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74591CD7">
            <w:pPr>
              <w:jc w:val="center"/>
              <w:rPr>
                <w:rFonts w:ascii="宋体" w:hAnsi="宋体" w:cs="宋体"/>
              </w:rPr>
            </w:pPr>
          </w:p>
        </w:tc>
        <w:tc>
          <w:tcPr>
            <w:tcW w:w="1350" w:type="dxa"/>
            <w:tcBorders>
              <w:tl2br w:val="nil"/>
              <w:tr2bl w:val="nil"/>
            </w:tcBorders>
            <w:noWrap/>
            <w:vAlign w:val="center"/>
          </w:tcPr>
          <w:p w14:paraId="3E70DA69">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06BF8934">
            <w:pPr>
              <w:jc w:val="center"/>
              <w:rPr>
                <w:rFonts w:ascii="宋体" w:hAnsi="宋体" w:cs="宋体"/>
              </w:rPr>
            </w:pPr>
          </w:p>
        </w:tc>
      </w:tr>
      <w:tr w14:paraId="35E1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F41361C">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1767414F">
            <w:pPr>
              <w:jc w:val="center"/>
              <w:rPr>
                <w:rFonts w:ascii="宋体" w:hAnsi="宋体" w:cs="宋体"/>
              </w:rPr>
            </w:pPr>
          </w:p>
        </w:tc>
        <w:tc>
          <w:tcPr>
            <w:tcW w:w="1350" w:type="dxa"/>
            <w:vMerge w:val="restart"/>
            <w:tcBorders>
              <w:tl2br w:val="nil"/>
              <w:tr2bl w:val="nil"/>
            </w:tcBorders>
            <w:noWrap/>
            <w:vAlign w:val="center"/>
          </w:tcPr>
          <w:p w14:paraId="6FDD65FB">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4C39D69F">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5A5B61C6">
            <w:pPr>
              <w:jc w:val="center"/>
              <w:rPr>
                <w:rFonts w:ascii="宋体" w:hAnsi="宋体" w:cs="宋体"/>
              </w:rPr>
            </w:pPr>
          </w:p>
        </w:tc>
      </w:tr>
      <w:tr w14:paraId="0E2E2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03AD663">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612C1BB8">
            <w:pPr>
              <w:jc w:val="center"/>
              <w:rPr>
                <w:rFonts w:ascii="宋体" w:hAnsi="宋体" w:cs="宋体"/>
              </w:rPr>
            </w:pPr>
          </w:p>
        </w:tc>
        <w:tc>
          <w:tcPr>
            <w:tcW w:w="1350" w:type="dxa"/>
            <w:vMerge w:val="continue"/>
            <w:tcBorders>
              <w:tl2br w:val="nil"/>
              <w:tr2bl w:val="nil"/>
            </w:tcBorders>
            <w:noWrap/>
            <w:vAlign w:val="center"/>
          </w:tcPr>
          <w:p w14:paraId="316C5EC9">
            <w:pPr>
              <w:jc w:val="center"/>
              <w:rPr>
                <w:rFonts w:ascii="宋体" w:hAnsi="宋体" w:cs="宋体"/>
              </w:rPr>
            </w:pPr>
          </w:p>
        </w:tc>
        <w:tc>
          <w:tcPr>
            <w:tcW w:w="1834" w:type="dxa"/>
            <w:tcBorders>
              <w:tl2br w:val="nil"/>
              <w:tr2bl w:val="nil"/>
            </w:tcBorders>
            <w:noWrap/>
            <w:vAlign w:val="center"/>
          </w:tcPr>
          <w:p w14:paraId="081DC3CD">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26F01B2E">
            <w:pPr>
              <w:jc w:val="center"/>
              <w:rPr>
                <w:rFonts w:ascii="宋体" w:hAnsi="宋体" w:cs="宋体"/>
              </w:rPr>
            </w:pPr>
          </w:p>
        </w:tc>
      </w:tr>
      <w:tr w14:paraId="668D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7F0287B">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5D8DFD6F">
            <w:pPr>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4BDEEE05">
            <w:pPr>
              <w:jc w:val="center"/>
              <w:rPr>
                <w:rFonts w:ascii="宋体" w:hAnsi="宋体" w:cs="宋体"/>
              </w:rPr>
            </w:pPr>
          </w:p>
        </w:tc>
        <w:tc>
          <w:tcPr>
            <w:tcW w:w="1834" w:type="dxa"/>
            <w:tcBorders>
              <w:tl2br w:val="nil"/>
              <w:tr2bl w:val="nil"/>
            </w:tcBorders>
            <w:noWrap/>
            <w:vAlign w:val="center"/>
          </w:tcPr>
          <w:p w14:paraId="71A53767">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243E4E07">
            <w:pPr>
              <w:jc w:val="center"/>
              <w:rPr>
                <w:rFonts w:ascii="宋体" w:hAnsi="宋体" w:cs="宋体"/>
              </w:rPr>
            </w:pPr>
          </w:p>
        </w:tc>
      </w:tr>
      <w:tr w14:paraId="068F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66225C7">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58F5CF1A">
            <w:pPr>
              <w:jc w:val="center"/>
              <w:rPr>
                <w:rFonts w:ascii="宋体" w:hAnsi="宋体" w:cs="宋体"/>
              </w:rPr>
            </w:pPr>
          </w:p>
        </w:tc>
        <w:tc>
          <w:tcPr>
            <w:tcW w:w="1350" w:type="dxa"/>
            <w:vMerge w:val="continue"/>
            <w:tcBorders>
              <w:tl2br w:val="nil"/>
              <w:tr2bl w:val="nil"/>
            </w:tcBorders>
            <w:noWrap/>
            <w:vAlign w:val="center"/>
          </w:tcPr>
          <w:p w14:paraId="70F349C7">
            <w:pPr>
              <w:jc w:val="center"/>
              <w:rPr>
                <w:rFonts w:ascii="宋体" w:hAnsi="宋体" w:cs="宋体"/>
              </w:rPr>
            </w:pPr>
          </w:p>
        </w:tc>
        <w:tc>
          <w:tcPr>
            <w:tcW w:w="1834" w:type="dxa"/>
            <w:tcBorders>
              <w:tl2br w:val="nil"/>
              <w:tr2bl w:val="nil"/>
            </w:tcBorders>
            <w:noWrap/>
            <w:vAlign w:val="center"/>
          </w:tcPr>
          <w:p w14:paraId="583F0198">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0C846661">
            <w:pPr>
              <w:jc w:val="center"/>
              <w:rPr>
                <w:rFonts w:ascii="宋体" w:hAnsi="宋体" w:cs="宋体"/>
              </w:rPr>
            </w:pPr>
          </w:p>
        </w:tc>
      </w:tr>
      <w:tr w14:paraId="4FF9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8A93A71">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6077BECE">
            <w:pPr>
              <w:jc w:val="center"/>
              <w:rPr>
                <w:rFonts w:ascii="宋体" w:hAnsi="宋体" w:cs="宋体"/>
              </w:rPr>
            </w:pPr>
          </w:p>
        </w:tc>
        <w:tc>
          <w:tcPr>
            <w:tcW w:w="1350" w:type="dxa"/>
            <w:vMerge w:val="continue"/>
            <w:tcBorders>
              <w:tl2br w:val="nil"/>
              <w:tr2bl w:val="nil"/>
            </w:tcBorders>
            <w:noWrap/>
            <w:vAlign w:val="center"/>
          </w:tcPr>
          <w:p w14:paraId="19527A18">
            <w:pPr>
              <w:jc w:val="center"/>
              <w:rPr>
                <w:rFonts w:ascii="宋体" w:hAnsi="宋体" w:cs="宋体"/>
              </w:rPr>
            </w:pPr>
          </w:p>
        </w:tc>
        <w:tc>
          <w:tcPr>
            <w:tcW w:w="1834" w:type="dxa"/>
            <w:tcBorders>
              <w:tl2br w:val="nil"/>
              <w:tr2bl w:val="nil"/>
            </w:tcBorders>
            <w:noWrap/>
            <w:vAlign w:val="center"/>
          </w:tcPr>
          <w:p w14:paraId="0D5ABDB5">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710A2001">
            <w:pPr>
              <w:jc w:val="center"/>
              <w:rPr>
                <w:rFonts w:ascii="宋体" w:hAnsi="宋体" w:cs="宋体"/>
              </w:rPr>
            </w:pPr>
          </w:p>
        </w:tc>
      </w:tr>
      <w:tr w14:paraId="00B5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DB0C18A">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30DF43CF">
            <w:pPr>
              <w:jc w:val="center"/>
              <w:rPr>
                <w:rFonts w:ascii="宋体" w:hAnsi="宋体" w:cs="宋体"/>
              </w:rPr>
            </w:pPr>
          </w:p>
        </w:tc>
      </w:tr>
      <w:tr w14:paraId="63706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1638B292">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23496FD4">
            <w:pPr>
              <w:jc w:val="center"/>
              <w:rPr>
                <w:rFonts w:ascii="宋体" w:hAnsi="宋体" w:cs="宋体"/>
              </w:rPr>
            </w:pPr>
          </w:p>
        </w:tc>
      </w:tr>
    </w:tbl>
    <w:p w14:paraId="459D2217">
      <w:pPr>
        <w:ind w:left="2970"/>
        <w:rPr>
          <w:rFonts w:ascii="宋体" w:hAnsi="宋体" w:cs="宋体"/>
          <w:b/>
          <w:bCs/>
        </w:rPr>
      </w:pPr>
    </w:p>
    <w:p w14:paraId="327BDBB3">
      <w:pPr>
        <w:pStyle w:val="5"/>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w:t>
      </w:r>
    </w:p>
    <w:p w14:paraId="3C6BF467">
      <w:pPr>
        <w:pStyle w:val="5"/>
        <w:tabs>
          <w:tab w:val="left" w:pos="1374"/>
        </w:tabs>
        <w:ind w:firstLine="840" w:firstLineChars="300"/>
        <w:rPr>
          <w:rFonts w:ascii="宋体" w:hAnsi="宋体" w:eastAsia="宋体" w:cs="宋体"/>
          <w:szCs w:val="24"/>
        </w:rPr>
      </w:pPr>
      <w:r>
        <w:rPr>
          <w:rFonts w:hint="eastAsia" w:ascii="宋体" w:hAnsi="宋体" w:eastAsia="宋体" w:cs="宋体"/>
          <w:szCs w:val="24"/>
        </w:rPr>
        <w:t>2.无响应指标的应写明无。</w:t>
      </w:r>
    </w:p>
    <w:p w14:paraId="39FECA01">
      <w:pPr>
        <w:pStyle w:val="12"/>
        <w:rPr>
          <w:rFonts w:ascii="宋体" w:hAnsi="宋体" w:cs="宋体"/>
          <w:b/>
          <w:bCs/>
        </w:rPr>
      </w:pPr>
    </w:p>
    <w:p w14:paraId="2D67A7DA">
      <w:pPr>
        <w:pStyle w:val="12"/>
        <w:rPr>
          <w:rFonts w:ascii="宋体" w:hAnsi="宋体" w:cs="宋体"/>
          <w:b/>
          <w:bCs/>
        </w:rPr>
      </w:pPr>
    </w:p>
    <w:p w14:paraId="18A431A9">
      <w:pPr>
        <w:pStyle w:val="12"/>
        <w:rPr>
          <w:rFonts w:ascii="宋体" w:hAnsi="宋体" w:cs="宋体"/>
          <w:b/>
          <w:bCs/>
        </w:rPr>
      </w:pPr>
    </w:p>
    <w:p w14:paraId="58997A39">
      <w:pPr>
        <w:rPr>
          <w:rFonts w:ascii="宋体" w:hAnsi="宋体" w:cs="宋体"/>
          <w:b/>
          <w:bCs/>
        </w:rPr>
      </w:pPr>
      <w:r>
        <w:rPr>
          <w:rFonts w:hint="eastAsia" w:ascii="宋体" w:hAnsi="宋体" w:cs="宋体"/>
          <w:b/>
          <w:bCs/>
        </w:rPr>
        <w:br w:type="page"/>
      </w:r>
    </w:p>
    <w:p w14:paraId="53CCD757">
      <w:pPr>
        <w:widowControl/>
        <w:outlineLvl w:val="3"/>
        <w:rPr>
          <w:rFonts w:ascii="宋体" w:hAnsi="宋体" w:cs="宋体"/>
          <w:b/>
          <w:bCs/>
          <w:color w:val="000000"/>
          <w:kern w:val="0"/>
          <w:sz w:val="32"/>
          <w:szCs w:val="32"/>
          <w:lang w:bidi="ar"/>
        </w:rPr>
      </w:pPr>
      <w:bookmarkStart w:id="6" w:name="_Toc15698"/>
      <w:r>
        <w:rPr>
          <w:rFonts w:hint="eastAsia" w:ascii="宋体" w:hAnsi="宋体" w:cs="宋体"/>
          <w:b/>
          <w:bCs/>
          <w:color w:val="000000"/>
          <w:kern w:val="0"/>
          <w:sz w:val="32"/>
          <w:szCs w:val="32"/>
          <w:lang w:bidi="ar"/>
        </w:rPr>
        <w:t>附：</w:t>
      </w:r>
    </w:p>
    <w:p w14:paraId="6B9C7756">
      <w:pPr>
        <w:widowControl/>
        <w:numPr>
          <w:ilvl w:val="0"/>
          <w:numId w:val="15"/>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6"/>
    </w:p>
    <w:p w14:paraId="4E97AA00">
      <w:pPr>
        <w:pStyle w:val="12"/>
        <w:rPr>
          <w:rFonts w:ascii="宋体" w:hAnsi="宋体" w:cs="宋体"/>
        </w:rPr>
      </w:pPr>
    </w:p>
    <w:p w14:paraId="3B0490D4">
      <w:pPr>
        <w:pStyle w:val="12"/>
        <w:ind w:firstLine="280" w:firstLineChars="100"/>
        <w:rPr>
          <w:rFonts w:ascii="宋体" w:hAnsi="宋体" w:cs="宋体"/>
          <w:sz w:val="28"/>
          <w:szCs w:val="28"/>
        </w:rPr>
      </w:pPr>
      <w:r>
        <w:rPr>
          <w:rFonts w:hint="eastAsia" w:ascii="宋体" w:hAnsi="宋体" w:cs="宋体"/>
          <w:sz w:val="28"/>
          <w:szCs w:val="28"/>
        </w:rPr>
        <w:t>营业执照加盖公章</w:t>
      </w:r>
    </w:p>
    <w:p w14:paraId="08F6F94D">
      <w:pPr>
        <w:numPr>
          <w:ilvl w:val="0"/>
          <w:numId w:val="15"/>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5FD5E0A1">
      <w:pPr>
        <w:pStyle w:val="14"/>
        <w:ind w:firstLine="420"/>
      </w:pPr>
    </w:p>
    <w:p w14:paraId="4CA8386E">
      <w:pPr>
        <w:widowControl/>
        <w:ind w:firstLine="2891" w:firstLineChars="900"/>
        <w:outlineLvl w:val="4"/>
        <w:rPr>
          <w:rFonts w:ascii="宋体" w:hAnsi="宋体" w:cs="宋体"/>
          <w:b/>
          <w:bCs/>
          <w:color w:val="000000"/>
          <w:kern w:val="0"/>
          <w:sz w:val="32"/>
          <w:szCs w:val="32"/>
          <w:lang w:bidi="ar"/>
        </w:rPr>
      </w:pPr>
      <w:bookmarkStart w:id="7" w:name="_Toc29012"/>
      <w:r>
        <w:rPr>
          <w:rFonts w:hint="eastAsia" w:ascii="宋体" w:hAnsi="宋体" w:cs="宋体"/>
          <w:b/>
          <w:bCs/>
          <w:color w:val="000000"/>
          <w:kern w:val="0"/>
          <w:sz w:val="32"/>
          <w:szCs w:val="32"/>
          <w:lang w:bidi="ar"/>
        </w:rPr>
        <w:t>（2) 资格承诺函</w:t>
      </w:r>
    </w:p>
    <w:p w14:paraId="015FAF19">
      <w:pPr>
        <w:spacing w:line="560" w:lineRule="exac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1F054825">
      <w:pPr>
        <w:ind w:firstLine="560" w:firstLineChars="200"/>
        <w:rPr>
          <w:sz w:val="28"/>
          <w:szCs w:val="28"/>
        </w:rPr>
      </w:pPr>
      <w:r>
        <w:rPr>
          <w:rFonts w:hint="eastAsia" w:ascii="宋体" w:hAnsi="宋体"/>
          <w:color w:val="000000"/>
          <w:sz w:val="28"/>
          <w:szCs w:val="28"/>
        </w:rPr>
        <w:t>我单位参与</w:t>
      </w:r>
      <w:r>
        <w:rPr>
          <w:rFonts w:hint="eastAsia" w:asciiTheme="minorEastAsia" w:hAnsiTheme="minorEastAsia" w:eastAsiaTheme="minorEastAsia" w:cstheme="minorEastAsia"/>
          <w:b w:val="0"/>
          <w:bCs/>
          <w:sz w:val="28"/>
          <w:szCs w:val="28"/>
          <w:u w:val="single"/>
        </w:rPr>
        <w:t>丹阳市人民医院</w:t>
      </w:r>
      <w:r>
        <w:rPr>
          <w:rFonts w:hint="eastAsia" w:asciiTheme="minorEastAsia" w:hAnsiTheme="minorEastAsia" w:eastAsiaTheme="minorEastAsia" w:cstheme="minorEastAsia"/>
          <w:b w:val="0"/>
          <w:bCs/>
          <w:sz w:val="28"/>
          <w:szCs w:val="28"/>
          <w:u w:val="single"/>
          <w:lang w:val="en-US" w:eastAsia="zh-CN"/>
        </w:rPr>
        <w:t>堡垒机</w:t>
      </w:r>
      <w:r>
        <w:rPr>
          <w:rFonts w:hint="eastAsia" w:asciiTheme="minorEastAsia" w:hAnsiTheme="minorEastAsia" w:cstheme="minorEastAsia"/>
          <w:b w:val="0"/>
          <w:bCs/>
          <w:sz w:val="28"/>
          <w:szCs w:val="28"/>
          <w:u w:val="single"/>
          <w:lang w:val="en-US" w:eastAsia="zh-CN"/>
        </w:rPr>
        <w:t>采购</w:t>
      </w:r>
      <w:r>
        <w:rPr>
          <w:rFonts w:hint="eastAsia" w:asciiTheme="minorEastAsia" w:hAnsiTheme="minorEastAsia" w:eastAsiaTheme="minorEastAsia" w:cstheme="minorEastAsia"/>
          <w:b w:val="0"/>
          <w:bCs/>
          <w:sz w:val="28"/>
          <w:szCs w:val="28"/>
          <w:u w:val="single"/>
          <w:lang w:val="en-US" w:eastAsia="zh-CN"/>
        </w:rPr>
        <w:t>项目</w:t>
      </w:r>
      <w:r>
        <w:rPr>
          <w:rFonts w:hint="eastAsia" w:ascii="宋体" w:hAnsi="宋体"/>
          <w:color w:val="000000"/>
          <w:sz w:val="28"/>
          <w:szCs w:val="28"/>
        </w:rPr>
        <w:t>的采购活动，现承诺如下：</w:t>
      </w:r>
    </w:p>
    <w:p w14:paraId="4DE24727">
      <w:pPr>
        <w:spacing w:line="520" w:lineRule="exact"/>
        <w:ind w:firstLine="620"/>
        <w:rPr>
          <w:sz w:val="28"/>
          <w:szCs w:val="28"/>
        </w:rPr>
      </w:pPr>
      <w:r>
        <w:rPr>
          <w:rFonts w:hint="eastAsia" w:ascii="宋体" w:hAnsi="宋体"/>
          <w:color w:val="000000"/>
          <w:sz w:val="28"/>
          <w:szCs w:val="28"/>
        </w:rPr>
        <w:t>1．我方具有良好的商业信誉和健全的财务会计制度。</w:t>
      </w:r>
    </w:p>
    <w:p w14:paraId="559CEE76">
      <w:pPr>
        <w:spacing w:line="520" w:lineRule="exact"/>
        <w:ind w:firstLine="620"/>
        <w:rPr>
          <w:sz w:val="28"/>
          <w:szCs w:val="28"/>
        </w:rPr>
      </w:pPr>
      <w:r>
        <w:rPr>
          <w:rFonts w:hint="eastAsia" w:ascii="宋体" w:hAnsi="宋体"/>
          <w:color w:val="000000"/>
          <w:sz w:val="28"/>
          <w:szCs w:val="28"/>
        </w:rPr>
        <w:t>2．我方具有履行合同所必需的设备和专业技术能力。</w:t>
      </w:r>
    </w:p>
    <w:p w14:paraId="4AD7382F">
      <w:pPr>
        <w:spacing w:line="520" w:lineRule="exact"/>
        <w:ind w:firstLine="620"/>
        <w:rPr>
          <w:sz w:val="28"/>
          <w:szCs w:val="28"/>
        </w:rPr>
      </w:pPr>
      <w:r>
        <w:rPr>
          <w:rFonts w:hint="eastAsia" w:ascii="宋体" w:hAnsi="宋体"/>
          <w:color w:val="000000"/>
          <w:sz w:val="28"/>
          <w:szCs w:val="28"/>
        </w:rPr>
        <w:t>3．我方具有依法缴纳税收和社会保障资金的良好记录。</w:t>
      </w:r>
    </w:p>
    <w:p w14:paraId="1492B65D">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62F55532">
      <w:pPr>
        <w:spacing w:line="520" w:lineRule="exact"/>
        <w:ind w:firstLine="620"/>
        <w:rPr>
          <w:rFonts w:ascii="宋体" w:hAnsi="宋体"/>
          <w:color w:val="000000"/>
          <w:sz w:val="28"/>
          <w:szCs w:val="28"/>
        </w:rPr>
      </w:pPr>
      <w:r>
        <w:rPr>
          <w:rFonts w:hint="eastAsia" w:ascii="宋体" w:hAnsi="宋体"/>
          <w:color w:val="000000"/>
          <w:sz w:val="28"/>
          <w:szCs w:val="28"/>
        </w:rPr>
        <w:t>5. 我方为</w:t>
      </w:r>
      <w:r>
        <w:rPr>
          <w:rFonts w:hint="eastAsia" w:ascii="宋体" w:hAnsi="宋体" w:cs="楷体"/>
          <w:sz w:val="28"/>
          <w:szCs w:val="28"/>
          <w:highlight w:val="white"/>
        </w:rPr>
        <w:t>中小微企。</w:t>
      </w:r>
    </w:p>
    <w:p w14:paraId="45347E0A">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22E58951">
      <w:pPr>
        <w:spacing w:line="580" w:lineRule="exact"/>
        <w:ind w:firstLine="940"/>
        <w:rPr>
          <w:rFonts w:ascii="宋体" w:hAnsi="宋体"/>
          <w:color w:val="000000"/>
          <w:sz w:val="28"/>
          <w:szCs w:val="28"/>
        </w:rPr>
      </w:pPr>
      <w:r>
        <w:rPr>
          <w:rFonts w:hint="eastAsia" w:ascii="宋体" w:hAnsi="宋体"/>
          <w:color w:val="000000"/>
          <w:sz w:val="28"/>
          <w:szCs w:val="28"/>
        </w:rPr>
        <w:t>投标（响应）供应商（全称并盖章）：</w:t>
      </w:r>
    </w:p>
    <w:p w14:paraId="45C3EB73">
      <w:pPr>
        <w:pStyle w:val="14"/>
        <w:ind w:firstLine="420"/>
      </w:pPr>
    </w:p>
    <w:p w14:paraId="1447DB3E">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14278F0C">
      <w:pPr>
        <w:pStyle w:val="14"/>
        <w:ind w:firstLine="420"/>
      </w:pPr>
    </w:p>
    <w:p w14:paraId="73E14CC7">
      <w:pPr>
        <w:spacing w:after="440" w:line="520" w:lineRule="exact"/>
        <w:ind w:firstLine="940"/>
        <w:rPr>
          <w:sz w:val="28"/>
          <w:szCs w:val="28"/>
        </w:rPr>
      </w:pPr>
      <w:r>
        <w:rPr>
          <w:rFonts w:hint="eastAsia" w:ascii="宋体" w:hAnsi="宋体"/>
          <w:color w:val="000000"/>
          <w:sz w:val="28"/>
          <w:szCs w:val="28"/>
        </w:rPr>
        <w:t>日期：</w:t>
      </w:r>
    </w:p>
    <w:bookmarkEnd w:id="7"/>
    <w:p w14:paraId="69C4B307">
      <w:pPr>
        <w:pStyle w:val="12"/>
        <w:ind w:firstLine="0"/>
        <w:rPr>
          <w:rFonts w:ascii="宋体" w:hAnsi="宋体" w:cs="宋体"/>
        </w:rPr>
      </w:pPr>
    </w:p>
    <w:p w14:paraId="62383685">
      <w:pPr>
        <w:pStyle w:val="12"/>
        <w:ind w:firstLine="0"/>
        <w:rPr>
          <w:rFonts w:ascii="宋体" w:hAnsi="宋体" w:cs="宋体"/>
        </w:rPr>
      </w:pPr>
    </w:p>
    <w:p w14:paraId="15AC7406">
      <w:pPr>
        <w:pStyle w:val="12"/>
        <w:ind w:firstLine="0"/>
        <w:rPr>
          <w:rFonts w:ascii="宋体" w:hAnsi="宋体" w:cs="宋体"/>
        </w:rPr>
      </w:pPr>
    </w:p>
    <w:p w14:paraId="142E84D5">
      <w:pPr>
        <w:pStyle w:val="12"/>
        <w:ind w:firstLine="0"/>
        <w:rPr>
          <w:rFonts w:ascii="宋体" w:hAnsi="宋体" w:cs="宋体"/>
        </w:rPr>
      </w:pPr>
    </w:p>
    <w:p w14:paraId="2767C748">
      <w:pPr>
        <w:adjustRightInd w:val="0"/>
        <w:snapToGrid w:val="0"/>
        <w:rPr>
          <w:rFonts w:ascii="宋体" w:hAnsi="宋体"/>
          <w:color w:val="000000"/>
        </w:rPr>
      </w:pPr>
      <w:r>
        <w:rPr>
          <w:rFonts w:hint="eastAsia" w:ascii="宋体" w:hAnsi="宋体"/>
          <w:color w:val="000000"/>
        </w:rPr>
        <w:t>说明：</w:t>
      </w:r>
    </w:p>
    <w:p w14:paraId="634CE096">
      <w:pPr>
        <w:adjustRightInd w:val="0"/>
        <w:snapToGrid w:val="0"/>
      </w:pPr>
      <w:r>
        <w:rPr>
          <w:rFonts w:hint="eastAsia" w:ascii="宋体" w:hAnsi="宋体"/>
          <w:color w:val="000000"/>
        </w:rPr>
        <w:t>1．供应商可自行选择是否提供本承诺函，若不提供本承诺函的，应按采购文件要求提供相应的证明材料。</w:t>
      </w:r>
    </w:p>
    <w:p w14:paraId="10D83D64">
      <w:pPr>
        <w:pStyle w:val="12"/>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7BA1762B">
      <w:pPr>
        <w:rPr>
          <w:rFonts w:ascii="宋体" w:hAnsi="宋体"/>
          <w:color w:val="000000"/>
        </w:rPr>
      </w:pPr>
      <w:r>
        <w:rPr>
          <w:rFonts w:hint="eastAsia" w:ascii="宋体" w:hAnsi="宋体"/>
          <w:color w:val="000000"/>
        </w:rPr>
        <w:br w:type="page"/>
      </w:r>
    </w:p>
    <w:bookmarkEnd w:id="5"/>
    <w:p w14:paraId="0B6B1265">
      <w:pPr>
        <w:pStyle w:val="4"/>
        <w:numPr>
          <w:ilvl w:val="2"/>
          <w:numId w:val="0"/>
        </w:numPr>
        <w:ind w:firstLine="1405" w:firstLineChars="500"/>
      </w:pPr>
      <w:r>
        <w:rPr>
          <w:rFonts w:hint="eastAsia"/>
          <w:lang w:val="en-US" w:eastAsia="zh-CN"/>
        </w:rPr>
        <w:t>六</w:t>
      </w:r>
      <w:r>
        <w:rPr>
          <w:rFonts w:hint="eastAsia"/>
        </w:rPr>
        <w:t>、技术和服务要求响应偏离表</w:t>
      </w:r>
    </w:p>
    <w:p w14:paraId="3BB8D7FB">
      <w:pPr>
        <w:rPr>
          <w:rFonts w:hint="default" w:ascii="宋体" w:hAnsi="宋体" w:cs="宋体"/>
          <w:sz w:val="21"/>
          <w:szCs w:val="21"/>
          <w:lang w:val="en-US"/>
        </w:rPr>
      </w:pPr>
      <w:r>
        <w:rPr>
          <w:rFonts w:hint="eastAsia" w:ascii="宋体" w:hAnsi="宋体" w:cs="宋体"/>
        </w:rPr>
        <w:t>项目名称：</w:t>
      </w:r>
      <w:r>
        <w:rPr>
          <w:rFonts w:hint="eastAsia" w:asciiTheme="minorEastAsia" w:hAnsiTheme="minorEastAsia" w:eastAsiaTheme="minorEastAsia" w:cstheme="minorEastAsia"/>
          <w:b w:val="0"/>
          <w:bCs/>
          <w:sz w:val="21"/>
          <w:szCs w:val="21"/>
          <w:lang w:val="en-US" w:eastAsia="zh-CN"/>
        </w:rPr>
        <w:t>堡垒机系统</w:t>
      </w:r>
      <w:r>
        <w:rPr>
          <w:rFonts w:hint="eastAsia" w:asciiTheme="minorEastAsia" w:hAnsiTheme="minorEastAsia" w:cstheme="minorEastAsia"/>
          <w:b w:val="0"/>
          <w:bCs/>
          <w:sz w:val="21"/>
          <w:szCs w:val="21"/>
          <w:lang w:val="en-US" w:eastAsia="zh-CN"/>
        </w:rPr>
        <w:t>采购</w:t>
      </w:r>
    </w:p>
    <w:tbl>
      <w:tblPr>
        <w:tblStyle w:val="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B80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5AD5CA1">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00241305">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209FBD61">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47B4429B">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2A57DADD">
            <w:pPr>
              <w:tabs>
                <w:tab w:val="left" w:pos="6300"/>
              </w:tabs>
              <w:snapToGrid w:val="0"/>
              <w:spacing w:line="312" w:lineRule="auto"/>
              <w:jc w:val="center"/>
              <w:outlineLvl w:val="0"/>
            </w:pPr>
            <w:r>
              <w:rPr>
                <w:rFonts w:hint="eastAsia"/>
              </w:rPr>
              <w:t>备注</w:t>
            </w:r>
          </w:p>
        </w:tc>
      </w:tr>
      <w:tr w14:paraId="1343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C54E29E">
            <w:pPr>
              <w:tabs>
                <w:tab w:val="left" w:pos="6300"/>
              </w:tabs>
              <w:snapToGrid w:val="0"/>
              <w:spacing w:line="312" w:lineRule="auto"/>
              <w:jc w:val="center"/>
              <w:outlineLvl w:val="0"/>
              <w:rPr>
                <w:rFonts w:ascii="宋体" w:hAnsi="宋体" w:cs="宋体"/>
              </w:rPr>
            </w:pPr>
          </w:p>
        </w:tc>
        <w:tc>
          <w:tcPr>
            <w:tcW w:w="2658" w:type="dxa"/>
            <w:vAlign w:val="center"/>
          </w:tcPr>
          <w:p w14:paraId="28671CEE">
            <w:pPr>
              <w:tabs>
                <w:tab w:val="left" w:pos="6300"/>
              </w:tabs>
              <w:snapToGrid w:val="0"/>
              <w:spacing w:line="312" w:lineRule="auto"/>
              <w:jc w:val="center"/>
              <w:outlineLvl w:val="0"/>
              <w:rPr>
                <w:rFonts w:ascii="宋体" w:hAnsi="宋体" w:cs="宋体"/>
              </w:rPr>
            </w:pPr>
          </w:p>
        </w:tc>
        <w:tc>
          <w:tcPr>
            <w:tcW w:w="2873" w:type="dxa"/>
            <w:vAlign w:val="center"/>
          </w:tcPr>
          <w:p w14:paraId="27FF8750">
            <w:pPr>
              <w:tabs>
                <w:tab w:val="left" w:pos="6300"/>
              </w:tabs>
              <w:snapToGrid w:val="0"/>
              <w:spacing w:line="312" w:lineRule="auto"/>
              <w:jc w:val="center"/>
              <w:outlineLvl w:val="0"/>
              <w:rPr>
                <w:rFonts w:ascii="宋体" w:hAnsi="宋体" w:cs="宋体"/>
              </w:rPr>
            </w:pPr>
          </w:p>
        </w:tc>
        <w:tc>
          <w:tcPr>
            <w:tcW w:w="1509" w:type="dxa"/>
            <w:vAlign w:val="center"/>
          </w:tcPr>
          <w:p w14:paraId="53716443">
            <w:pPr>
              <w:tabs>
                <w:tab w:val="left" w:pos="6300"/>
              </w:tabs>
              <w:snapToGrid w:val="0"/>
              <w:spacing w:line="312" w:lineRule="auto"/>
              <w:jc w:val="center"/>
              <w:outlineLvl w:val="0"/>
              <w:rPr>
                <w:rFonts w:ascii="宋体" w:hAnsi="宋体" w:cs="宋体"/>
              </w:rPr>
            </w:pPr>
          </w:p>
        </w:tc>
        <w:tc>
          <w:tcPr>
            <w:tcW w:w="1341" w:type="dxa"/>
            <w:vAlign w:val="center"/>
          </w:tcPr>
          <w:p w14:paraId="3F5C6131">
            <w:pPr>
              <w:tabs>
                <w:tab w:val="left" w:pos="6300"/>
              </w:tabs>
              <w:snapToGrid w:val="0"/>
              <w:spacing w:line="312" w:lineRule="auto"/>
              <w:jc w:val="center"/>
              <w:outlineLvl w:val="0"/>
              <w:rPr>
                <w:rFonts w:ascii="宋体" w:hAnsi="宋体" w:cs="宋体"/>
              </w:rPr>
            </w:pPr>
          </w:p>
        </w:tc>
      </w:tr>
      <w:tr w14:paraId="5919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4435B94">
            <w:pPr>
              <w:tabs>
                <w:tab w:val="left" w:pos="6300"/>
              </w:tabs>
              <w:snapToGrid w:val="0"/>
              <w:spacing w:line="312" w:lineRule="auto"/>
              <w:jc w:val="center"/>
              <w:outlineLvl w:val="0"/>
              <w:rPr>
                <w:rFonts w:ascii="宋体" w:hAnsi="宋体" w:cs="宋体"/>
              </w:rPr>
            </w:pPr>
          </w:p>
        </w:tc>
        <w:tc>
          <w:tcPr>
            <w:tcW w:w="2658" w:type="dxa"/>
            <w:vAlign w:val="center"/>
          </w:tcPr>
          <w:p w14:paraId="12B87E6C">
            <w:pPr>
              <w:tabs>
                <w:tab w:val="left" w:pos="6300"/>
              </w:tabs>
              <w:snapToGrid w:val="0"/>
              <w:spacing w:line="312" w:lineRule="auto"/>
              <w:jc w:val="center"/>
              <w:outlineLvl w:val="0"/>
              <w:rPr>
                <w:rFonts w:ascii="宋体" w:hAnsi="宋体" w:cs="宋体"/>
              </w:rPr>
            </w:pPr>
          </w:p>
        </w:tc>
        <w:tc>
          <w:tcPr>
            <w:tcW w:w="2873" w:type="dxa"/>
            <w:vAlign w:val="center"/>
          </w:tcPr>
          <w:p w14:paraId="3AABC294">
            <w:pPr>
              <w:tabs>
                <w:tab w:val="left" w:pos="6300"/>
              </w:tabs>
              <w:snapToGrid w:val="0"/>
              <w:spacing w:line="312" w:lineRule="auto"/>
              <w:jc w:val="center"/>
              <w:outlineLvl w:val="0"/>
              <w:rPr>
                <w:rFonts w:ascii="宋体" w:hAnsi="宋体" w:cs="宋体"/>
              </w:rPr>
            </w:pPr>
          </w:p>
        </w:tc>
        <w:tc>
          <w:tcPr>
            <w:tcW w:w="1509" w:type="dxa"/>
            <w:vAlign w:val="center"/>
          </w:tcPr>
          <w:p w14:paraId="58CF6306">
            <w:pPr>
              <w:tabs>
                <w:tab w:val="left" w:pos="6300"/>
              </w:tabs>
              <w:snapToGrid w:val="0"/>
              <w:spacing w:line="312" w:lineRule="auto"/>
              <w:jc w:val="center"/>
              <w:outlineLvl w:val="0"/>
              <w:rPr>
                <w:rFonts w:ascii="宋体" w:hAnsi="宋体" w:cs="宋体"/>
              </w:rPr>
            </w:pPr>
          </w:p>
        </w:tc>
        <w:tc>
          <w:tcPr>
            <w:tcW w:w="1341" w:type="dxa"/>
            <w:vAlign w:val="center"/>
          </w:tcPr>
          <w:p w14:paraId="7878C669">
            <w:pPr>
              <w:tabs>
                <w:tab w:val="left" w:pos="6300"/>
              </w:tabs>
              <w:snapToGrid w:val="0"/>
              <w:spacing w:line="312" w:lineRule="auto"/>
              <w:jc w:val="center"/>
              <w:outlineLvl w:val="0"/>
              <w:rPr>
                <w:rFonts w:ascii="宋体" w:hAnsi="宋体" w:cs="宋体"/>
              </w:rPr>
            </w:pPr>
          </w:p>
        </w:tc>
      </w:tr>
      <w:tr w14:paraId="0E00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B864868">
            <w:pPr>
              <w:tabs>
                <w:tab w:val="left" w:pos="6300"/>
              </w:tabs>
              <w:snapToGrid w:val="0"/>
              <w:spacing w:line="312" w:lineRule="auto"/>
              <w:jc w:val="center"/>
              <w:outlineLvl w:val="0"/>
              <w:rPr>
                <w:rFonts w:ascii="宋体" w:hAnsi="宋体" w:cs="宋体"/>
              </w:rPr>
            </w:pPr>
          </w:p>
        </w:tc>
        <w:tc>
          <w:tcPr>
            <w:tcW w:w="2658" w:type="dxa"/>
            <w:vAlign w:val="center"/>
          </w:tcPr>
          <w:p w14:paraId="418A28D3">
            <w:pPr>
              <w:tabs>
                <w:tab w:val="left" w:pos="6300"/>
              </w:tabs>
              <w:snapToGrid w:val="0"/>
              <w:spacing w:line="312" w:lineRule="auto"/>
              <w:jc w:val="center"/>
              <w:outlineLvl w:val="0"/>
              <w:rPr>
                <w:rFonts w:ascii="宋体" w:hAnsi="宋体" w:cs="宋体"/>
              </w:rPr>
            </w:pPr>
          </w:p>
        </w:tc>
        <w:tc>
          <w:tcPr>
            <w:tcW w:w="2873" w:type="dxa"/>
            <w:vAlign w:val="center"/>
          </w:tcPr>
          <w:p w14:paraId="75F36517">
            <w:pPr>
              <w:tabs>
                <w:tab w:val="left" w:pos="6300"/>
              </w:tabs>
              <w:snapToGrid w:val="0"/>
              <w:spacing w:line="312" w:lineRule="auto"/>
              <w:jc w:val="center"/>
              <w:outlineLvl w:val="0"/>
              <w:rPr>
                <w:rFonts w:ascii="宋体" w:hAnsi="宋体" w:cs="宋体"/>
              </w:rPr>
            </w:pPr>
          </w:p>
        </w:tc>
        <w:tc>
          <w:tcPr>
            <w:tcW w:w="1509" w:type="dxa"/>
            <w:vAlign w:val="center"/>
          </w:tcPr>
          <w:p w14:paraId="2E83C20F">
            <w:pPr>
              <w:tabs>
                <w:tab w:val="left" w:pos="6300"/>
              </w:tabs>
              <w:snapToGrid w:val="0"/>
              <w:spacing w:line="312" w:lineRule="auto"/>
              <w:jc w:val="center"/>
              <w:outlineLvl w:val="0"/>
              <w:rPr>
                <w:rFonts w:ascii="宋体" w:hAnsi="宋体" w:cs="宋体"/>
              </w:rPr>
            </w:pPr>
          </w:p>
        </w:tc>
        <w:tc>
          <w:tcPr>
            <w:tcW w:w="1341" w:type="dxa"/>
            <w:vAlign w:val="center"/>
          </w:tcPr>
          <w:p w14:paraId="0DF54638">
            <w:pPr>
              <w:tabs>
                <w:tab w:val="left" w:pos="6300"/>
              </w:tabs>
              <w:snapToGrid w:val="0"/>
              <w:spacing w:line="312" w:lineRule="auto"/>
              <w:jc w:val="center"/>
              <w:outlineLvl w:val="0"/>
              <w:rPr>
                <w:rFonts w:ascii="宋体" w:hAnsi="宋体" w:cs="宋体"/>
              </w:rPr>
            </w:pPr>
          </w:p>
        </w:tc>
      </w:tr>
      <w:tr w14:paraId="40BF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9F6E30A">
            <w:pPr>
              <w:tabs>
                <w:tab w:val="left" w:pos="6300"/>
              </w:tabs>
              <w:snapToGrid w:val="0"/>
              <w:spacing w:line="312" w:lineRule="auto"/>
              <w:jc w:val="center"/>
              <w:outlineLvl w:val="0"/>
              <w:rPr>
                <w:rFonts w:ascii="宋体" w:hAnsi="宋体" w:cs="宋体"/>
              </w:rPr>
            </w:pPr>
          </w:p>
        </w:tc>
        <w:tc>
          <w:tcPr>
            <w:tcW w:w="2658" w:type="dxa"/>
            <w:vAlign w:val="center"/>
          </w:tcPr>
          <w:p w14:paraId="6C67F933">
            <w:pPr>
              <w:tabs>
                <w:tab w:val="left" w:pos="6300"/>
              </w:tabs>
              <w:snapToGrid w:val="0"/>
              <w:spacing w:line="312" w:lineRule="auto"/>
              <w:jc w:val="center"/>
              <w:outlineLvl w:val="0"/>
              <w:rPr>
                <w:rFonts w:ascii="宋体" w:hAnsi="宋体" w:cs="宋体"/>
              </w:rPr>
            </w:pPr>
          </w:p>
        </w:tc>
        <w:tc>
          <w:tcPr>
            <w:tcW w:w="2873" w:type="dxa"/>
            <w:vAlign w:val="center"/>
          </w:tcPr>
          <w:p w14:paraId="61FFB9E9">
            <w:pPr>
              <w:tabs>
                <w:tab w:val="left" w:pos="6300"/>
              </w:tabs>
              <w:snapToGrid w:val="0"/>
              <w:spacing w:line="312" w:lineRule="auto"/>
              <w:jc w:val="center"/>
              <w:outlineLvl w:val="0"/>
              <w:rPr>
                <w:rFonts w:ascii="宋体" w:hAnsi="宋体" w:cs="宋体"/>
              </w:rPr>
            </w:pPr>
          </w:p>
        </w:tc>
        <w:tc>
          <w:tcPr>
            <w:tcW w:w="1509" w:type="dxa"/>
            <w:vAlign w:val="center"/>
          </w:tcPr>
          <w:p w14:paraId="3879521E">
            <w:pPr>
              <w:tabs>
                <w:tab w:val="left" w:pos="6300"/>
              </w:tabs>
              <w:snapToGrid w:val="0"/>
              <w:spacing w:line="312" w:lineRule="auto"/>
              <w:jc w:val="center"/>
              <w:outlineLvl w:val="0"/>
              <w:rPr>
                <w:rFonts w:ascii="宋体" w:hAnsi="宋体" w:cs="宋体"/>
              </w:rPr>
            </w:pPr>
          </w:p>
        </w:tc>
        <w:tc>
          <w:tcPr>
            <w:tcW w:w="1341" w:type="dxa"/>
            <w:vAlign w:val="center"/>
          </w:tcPr>
          <w:p w14:paraId="2321A80E">
            <w:pPr>
              <w:tabs>
                <w:tab w:val="left" w:pos="6300"/>
              </w:tabs>
              <w:snapToGrid w:val="0"/>
              <w:spacing w:line="312" w:lineRule="auto"/>
              <w:jc w:val="center"/>
              <w:outlineLvl w:val="0"/>
              <w:rPr>
                <w:rFonts w:ascii="宋体" w:hAnsi="宋体" w:cs="宋体"/>
              </w:rPr>
            </w:pPr>
          </w:p>
        </w:tc>
      </w:tr>
      <w:tr w14:paraId="79E2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AFC1487">
            <w:pPr>
              <w:tabs>
                <w:tab w:val="left" w:pos="6300"/>
              </w:tabs>
              <w:snapToGrid w:val="0"/>
              <w:spacing w:line="312" w:lineRule="auto"/>
              <w:jc w:val="center"/>
              <w:outlineLvl w:val="0"/>
              <w:rPr>
                <w:rFonts w:ascii="宋体" w:hAnsi="宋体" w:cs="宋体"/>
              </w:rPr>
            </w:pPr>
          </w:p>
        </w:tc>
        <w:tc>
          <w:tcPr>
            <w:tcW w:w="2658" w:type="dxa"/>
            <w:vAlign w:val="center"/>
          </w:tcPr>
          <w:p w14:paraId="5A7FF9D9">
            <w:pPr>
              <w:tabs>
                <w:tab w:val="left" w:pos="6300"/>
              </w:tabs>
              <w:snapToGrid w:val="0"/>
              <w:spacing w:line="312" w:lineRule="auto"/>
              <w:jc w:val="center"/>
              <w:outlineLvl w:val="0"/>
              <w:rPr>
                <w:rFonts w:ascii="宋体" w:hAnsi="宋体" w:cs="宋体"/>
              </w:rPr>
            </w:pPr>
          </w:p>
        </w:tc>
        <w:tc>
          <w:tcPr>
            <w:tcW w:w="2873" w:type="dxa"/>
            <w:vAlign w:val="center"/>
          </w:tcPr>
          <w:p w14:paraId="5D0AEB17">
            <w:pPr>
              <w:tabs>
                <w:tab w:val="left" w:pos="6300"/>
              </w:tabs>
              <w:snapToGrid w:val="0"/>
              <w:spacing w:line="312" w:lineRule="auto"/>
              <w:jc w:val="center"/>
              <w:outlineLvl w:val="0"/>
              <w:rPr>
                <w:rFonts w:ascii="宋体" w:hAnsi="宋体" w:cs="宋体"/>
              </w:rPr>
            </w:pPr>
          </w:p>
        </w:tc>
        <w:tc>
          <w:tcPr>
            <w:tcW w:w="1509" w:type="dxa"/>
            <w:vAlign w:val="center"/>
          </w:tcPr>
          <w:p w14:paraId="2A0BB03A">
            <w:pPr>
              <w:tabs>
                <w:tab w:val="left" w:pos="6300"/>
              </w:tabs>
              <w:snapToGrid w:val="0"/>
              <w:spacing w:line="312" w:lineRule="auto"/>
              <w:jc w:val="center"/>
              <w:outlineLvl w:val="0"/>
              <w:rPr>
                <w:rFonts w:ascii="宋体" w:hAnsi="宋体" w:cs="宋体"/>
              </w:rPr>
            </w:pPr>
          </w:p>
        </w:tc>
        <w:tc>
          <w:tcPr>
            <w:tcW w:w="1341" w:type="dxa"/>
            <w:vAlign w:val="center"/>
          </w:tcPr>
          <w:p w14:paraId="5299F5FB">
            <w:pPr>
              <w:tabs>
                <w:tab w:val="left" w:pos="6300"/>
              </w:tabs>
              <w:snapToGrid w:val="0"/>
              <w:spacing w:line="312" w:lineRule="auto"/>
              <w:jc w:val="center"/>
              <w:outlineLvl w:val="0"/>
              <w:rPr>
                <w:rFonts w:ascii="宋体" w:hAnsi="宋体" w:cs="宋体"/>
              </w:rPr>
            </w:pPr>
          </w:p>
        </w:tc>
      </w:tr>
      <w:tr w14:paraId="7E02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6BC0C18">
            <w:pPr>
              <w:tabs>
                <w:tab w:val="left" w:pos="6300"/>
              </w:tabs>
              <w:snapToGrid w:val="0"/>
              <w:spacing w:line="312" w:lineRule="auto"/>
              <w:jc w:val="center"/>
              <w:outlineLvl w:val="0"/>
              <w:rPr>
                <w:rFonts w:ascii="宋体" w:hAnsi="宋体" w:cs="宋体"/>
              </w:rPr>
            </w:pPr>
          </w:p>
        </w:tc>
        <w:tc>
          <w:tcPr>
            <w:tcW w:w="2658" w:type="dxa"/>
            <w:vAlign w:val="center"/>
          </w:tcPr>
          <w:p w14:paraId="5B693177">
            <w:pPr>
              <w:tabs>
                <w:tab w:val="left" w:pos="6300"/>
              </w:tabs>
              <w:snapToGrid w:val="0"/>
              <w:spacing w:line="312" w:lineRule="auto"/>
              <w:jc w:val="center"/>
              <w:outlineLvl w:val="0"/>
              <w:rPr>
                <w:rFonts w:ascii="宋体" w:hAnsi="宋体" w:cs="宋体"/>
              </w:rPr>
            </w:pPr>
          </w:p>
        </w:tc>
        <w:tc>
          <w:tcPr>
            <w:tcW w:w="2873" w:type="dxa"/>
            <w:vAlign w:val="center"/>
          </w:tcPr>
          <w:p w14:paraId="161CCBFA">
            <w:pPr>
              <w:tabs>
                <w:tab w:val="left" w:pos="6300"/>
              </w:tabs>
              <w:snapToGrid w:val="0"/>
              <w:spacing w:line="312" w:lineRule="auto"/>
              <w:jc w:val="center"/>
              <w:outlineLvl w:val="0"/>
              <w:rPr>
                <w:rFonts w:ascii="宋体" w:hAnsi="宋体" w:cs="宋体"/>
              </w:rPr>
            </w:pPr>
          </w:p>
        </w:tc>
        <w:tc>
          <w:tcPr>
            <w:tcW w:w="1509" w:type="dxa"/>
            <w:vAlign w:val="center"/>
          </w:tcPr>
          <w:p w14:paraId="3EB5E14F">
            <w:pPr>
              <w:tabs>
                <w:tab w:val="left" w:pos="6300"/>
              </w:tabs>
              <w:snapToGrid w:val="0"/>
              <w:spacing w:line="312" w:lineRule="auto"/>
              <w:jc w:val="center"/>
              <w:outlineLvl w:val="0"/>
              <w:rPr>
                <w:rFonts w:ascii="宋体" w:hAnsi="宋体" w:cs="宋体"/>
              </w:rPr>
            </w:pPr>
          </w:p>
        </w:tc>
        <w:tc>
          <w:tcPr>
            <w:tcW w:w="1341" w:type="dxa"/>
            <w:vAlign w:val="center"/>
          </w:tcPr>
          <w:p w14:paraId="62889E8E">
            <w:pPr>
              <w:tabs>
                <w:tab w:val="left" w:pos="6300"/>
              </w:tabs>
              <w:snapToGrid w:val="0"/>
              <w:spacing w:line="312" w:lineRule="auto"/>
              <w:jc w:val="center"/>
              <w:outlineLvl w:val="0"/>
              <w:rPr>
                <w:rFonts w:ascii="宋体" w:hAnsi="宋体" w:cs="宋体"/>
              </w:rPr>
            </w:pPr>
          </w:p>
        </w:tc>
      </w:tr>
      <w:tr w14:paraId="0F42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1666B40">
            <w:pPr>
              <w:tabs>
                <w:tab w:val="left" w:pos="6300"/>
              </w:tabs>
              <w:snapToGrid w:val="0"/>
              <w:spacing w:line="312" w:lineRule="auto"/>
              <w:jc w:val="center"/>
              <w:outlineLvl w:val="0"/>
              <w:rPr>
                <w:rFonts w:ascii="宋体" w:hAnsi="宋体" w:cs="宋体"/>
              </w:rPr>
            </w:pPr>
          </w:p>
        </w:tc>
        <w:tc>
          <w:tcPr>
            <w:tcW w:w="2658" w:type="dxa"/>
            <w:vAlign w:val="center"/>
          </w:tcPr>
          <w:p w14:paraId="4E9825A5">
            <w:pPr>
              <w:tabs>
                <w:tab w:val="left" w:pos="6300"/>
              </w:tabs>
              <w:snapToGrid w:val="0"/>
              <w:spacing w:line="312" w:lineRule="auto"/>
              <w:jc w:val="center"/>
              <w:outlineLvl w:val="0"/>
              <w:rPr>
                <w:rFonts w:ascii="宋体" w:hAnsi="宋体" w:cs="宋体"/>
              </w:rPr>
            </w:pPr>
          </w:p>
        </w:tc>
        <w:tc>
          <w:tcPr>
            <w:tcW w:w="2873" w:type="dxa"/>
            <w:vAlign w:val="center"/>
          </w:tcPr>
          <w:p w14:paraId="71D6763F">
            <w:pPr>
              <w:tabs>
                <w:tab w:val="left" w:pos="6300"/>
              </w:tabs>
              <w:snapToGrid w:val="0"/>
              <w:spacing w:line="312" w:lineRule="auto"/>
              <w:jc w:val="center"/>
              <w:outlineLvl w:val="0"/>
              <w:rPr>
                <w:rFonts w:ascii="宋体" w:hAnsi="宋体" w:cs="宋体"/>
              </w:rPr>
            </w:pPr>
          </w:p>
        </w:tc>
        <w:tc>
          <w:tcPr>
            <w:tcW w:w="1509" w:type="dxa"/>
            <w:vAlign w:val="center"/>
          </w:tcPr>
          <w:p w14:paraId="431AC245">
            <w:pPr>
              <w:tabs>
                <w:tab w:val="left" w:pos="6300"/>
              </w:tabs>
              <w:snapToGrid w:val="0"/>
              <w:spacing w:line="312" w:lineRule="auto"/>
              <w:jc w:val="center"/>
              <w:outlineLvl w:val="0"/>
              <w:rPr>
                <w:rFonts w:ascii="宋体" w:hAnsi="宋体" w:cs="宋体"/>
              </w:rPr>
            </w:pPr>
          </w:p>
        </w:tc>
        <w:tc>
          <w:tcPr>
            <w:tcW w:w="1341" w:type="dxa"/>
            <w:vAlign w:val="center"/>
          </w:tcPr>
          <w:p w14:paraId="0648E1EC">
            <w:pPr>
              <w:tabs>
                <w:tab w:val="left" w:pos="6300"/>
              </w:tabs>
              <w:snapToGrid w:val="0"/>
              <w:spacing w:line="312" w:lineRule="auto"/>
              <w:jc w:val="center"/>
              <w:outlineLvl w:val="0"/>
              <w:rPr>
                <w:rFonts w:ascii="宋体" w:hAnsi="宋体" w:cs="宋体"/>
              </w:rPr>
            </w:pPr>
          </w:p>
        </w:tc>
      </w:tr>
      <w:tr w14:paraId="0028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4C1A0B6">
            <w:pPr>
              <w:tabs>
                <w:tab w:val="left" w:pos="6300"/>
              </w:tabs>
              <w:snapToGrid w:val="0"/>
              <w:spacing w:line="312" w:lineRule="auto"/>
              <w:jc w:val="center"/>
              <w:outlineLvl w:val="0"/>
              <w:rPr>
                <w:rFonts w:ascii="宋体" w:hAnsi="宋体" w:cs="宋体"/>
              </w:rPr>
            </w:pPr>
          </w:p>
        </w:tc>
        <w:tc>
          <w:tcPr>
            <w:tcW w:w="2658" w:type="dxa"/>
            <w:vAlign w:val="center"/>
          </w:tcPr>
          <w:p w14:paraId="175EE955">
            <w:pPr>
              <w:tabs>
                <w:tab w:val="left" w:pos="6300"/>
              </w:tabs>
              <w:snapToGrid w:val="0"/>
              <w:spacing w:line="312" w:lineRule="auto"/>
              <w:jc w:val="center"/>
              <w:outlineLvl w:val="0"/>
              <w:rPr>
                <w:rFonts w:ascii="宋体" w:hAnsi="宋体" w:cs="宋体"/>
              </w:rPr>
            </w:pPr>
          </w:p>
        </w:tc>
        <w:tc>
          <w:tcPr>
            <w:tcW w:w="2873" w:type="dxa"/>
            <w:vAlign w:val="center"/>
          </w:tcPr>
          <w:p w14:paraId="415FE999">
            <w:pPr>
              <w:tabs>
                <w:tab w:val="left" w:pos="6300"/>
              </w:tabs>
              <w:snapToGrid w:val="0"/>
              <w:spacing w:line="312" w:lineRule="auto"/>
              <w:jc w:val="center"/>
              <w:outlineLvl w:val="0"/>
              <w:rPr>
                <w:rFonts w:ascii="宋体" w:hAnsi="宋体" w:cs="宋体"/>
              </w:rPr>
            </w:pPr>
          </w:p>
        </w:tc>
        <w:tc>
          <w:tcPr>
            <w:tcW w:w="1509" w:type="dxa"/>
            <w:vAlign w:val="center"/>
          </w:tcPr>
          <w:p w14:paraId="3CB6930F">
            <w:pPr>
              <w:tabs>
                <w:tab w:val="left" w:pos="6300"/>
              </w:tabs>
              <w:snapToGrid w:val="0"/>
              <w:spacing w:line="312" w:lineRule="auto"/>
              <w:jc w:val="center"/>
              <w:outlineLvl w:val="0"/>
              <w:rPr>
                <w:rFonts w:ascii="宋体" w:hAnsi="宋体" w:cs="宋体"/>
              </w:rPr>
            </w:pPr>
          </w:p>
        </w:tc>
        <w:tc>
          <w:tcPr>
            <w:tcW w:w="1341" w:type="dxa"/>
            <w:vAlign w:val="center"/>
          </w:tcPr>
          <w:p w14:paraId="46A08635">
            <w:pPr>
              <w:tabs>
                <w:tab w:val="left" w:pos="6300"/>
              </w:tabs>
              <w:snapToGrid w:val="0"/>
              <w:spacing w:line="312" w:lineRule="auto"/>
              <w:jc w:val="center"/>
              <w:outlineLvl w:val="0"/>
              <w:rPr>
                <w:rFonts w:ascii="宋体" w:hAnsi="宋体" w:cs="宋体"/>
              </w:rPr>
            </w:pPr>
          </w:p>
        </w:tc>
      </w:tr>
      <w:tr w14:paraId="7FF7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29FB5C6">
            <w:pPr>
              <w:tabs>
                <w:tab w:val="left" w:pos="6300"/>
              </w:tabs>
              <w:snapToGrid w:val="0"/>
              <w:spacing w:line="312" w:lineRule="auto"/>
              <w:jc w:val="center"/>
              <w:outlineLvl w:val="0"/>
              <w:rPr>
                <w:rFonts w:ascii="宋体" w:hAnsi="宋体" w:cs="宋体"/>
              </w:rPr>
            </w:pPr>
          </w:p>
        </w:tc>
        <w:tc>
          <w:tcPr>
            <w:tcW w:w="2658" w:type="dxa"/>
            <w:vAlign w:val="center"/>
          </w:tcPr>
          <w:p w14:paraId="0E96DE07">
            <w:pPr>
              <w:tabs>
                <w:tab w:val="left" w:pos="6300"/>
              </w:tabs>
              <w:snapToGrid w:val="0"/>
              <w:spacing w:line="312" w:lineRule="auto"/>
              <w:jc w:val="center"/>
              <w:outlineLvl w:val="0"/>
              <w:rPr>
                <w:rFonts w:ascii="宋体" w:hAnsi="宋体" w:cs="宋体"/>
              </w:rPr>
            </w:pPr>
          </w:p>
        </w:tc>
        <w:tc>
          <w:tcPr>
            <w:tcW w:w="2873" w:type="dxa"/>
            <w:vAlign w:val="center"/>
          </w:tcPr>
          <w:p w14:paraId="17DA7A00">
            <w:pPr>
              <w:tabs>
                <w:tab w:val="left" w:pos="6300"/>
              </w:tabs>
              <w:snapToGrid w:val="0"/>
              <w:spacing w:line="312" w:lineRule="auto"/>
              <w:jc w:val="center"/>
              <w:outlineLvl w:val="0"/>
              <w:rPr>
                <w:rFonts w:ascii="宋体" w:hAnsi="宋体" w:cs="宋体"/>
              </w:rPr>
            </w:pPr>
          </w:p>
        </w:tc>
        <w:tc>
          <w:tcPr>
            <w:tcW w:w="1509" w:type="dxa"/>
            <w:vAlign w:val="center"/>
          </w:tcPr>
          <w:p w14:paraId="6A997367">
            <w:pPr>
              <w:tabs>
                <w:tab w:val="left" w:pos="6300"/>
              </w:tabs>
              <w:snapToGrid w:val="0"/>
              <w:spacing w:line="312" w:lineRule="auto"/>
              <w:jc w:val="center"/>
              <w:outlineLvl w:val="0"/>
              <w:rPr>
                <w:rFonts w:ascii="宋体" w:hAnsi="宋体" w:cs="宋体"/>
              </w:rPr>
            </w:pPr>
          </w:p>
        </w:tc>
        <w:tc>
          <w:tcPr>
            <w:tcW w:w="1341" w:type="dxa"/>
            <w:vAlign w:val="center"/>
          </w:tcPr>
          <w:p w14:paraId="74A1151D">
            <w:pPr>
              <w:tabs>
                <w:tab w:val="left" w:pos="6300"/>
              </w:tabs>
              <w:snapToGrid w:val="0"/>
              <w:spacing w:line="312" w:lineRule="auto"/>
              <w:jc w:val="center"/>
              <w:outlineLvl w:val="0"/>
              <w:rPr>
                <w:rFonts w:ascii="宋体" w:hAnsi="宋体" w:cs="宋体"/>
              </w:rPr>
            </w:pPr>
          </w:p>
        </w:tc>
      </w:tr>
      <w:tr w14:paraId="1E4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FFA081D">
            <w:pPr>
              <w:tabs>
                <w:tab w:val="left" w:pos="6300"/>
              </w:tabs>
              <w:snapToGrid w:val="0"/>
              <w:spacing w:line="312" w:lineRule="auto"/>
              <w:jc w:val="center"/>
              <w:outlineLvl w:val="0"/>
              <w:rPr>
                <w:rFonts w:ascii="宋体" w:hAnsi="宋体" w:cs="宋体"/>
              </w:rPr>
            </w:pPr>
          </w:p>
        </w:tc>
        <w:tc>
          <w:tcPr>
            <w:tcW w:w="2658" w:type="dxa"/>
            <w:vAlign w:val="center"/>
          </w:tcPr>
          <w:p w14:paraId="76466914">
            <w:pPr>
              <w:tabs>
                <w:tab w:val="left" w:pos="6300"/>
              </w:tabs>
              <w:snapToGrid w:val="0"/>
              <w:spacing w:line="312" w:lineRule="auto"/>
              <w:jc w:val="center"/>
              <w:outlineLvl w:val="0"/>
              <w:rPr>
                <w:rFonts w:ascii="宋体" w:hAnsi="宋体" w:cs="宋体"/>
              </w:rPr>
            </w:pPr>
          </w:p>
        </w:tc>
        <w:tc>
          <w:tcPr>
            <w:tcW w:w="2873" w:type="dxa"/>
            <w:vAlign w:val="center"/>
          </w:tcPr>
          <w:p w14:paraId="5D817854">
            <w:pPr>
              <w:tabs>
                <w:tab w:val="left" w:pos="6300"/>
              </w:tabs>
              <w:snapToGrid w:val="0"/>
              <w:spacing w:line="312" w:lineRule="auto"/>
              <w:jc w:val="center"/>
              <w:outlineLvl w:val="0"/>
              <w:rPr>
                <w:rFonts w:ascii="宋体" w:hAnsi="宋体" w:cs="宋体"/>
              </w:rPr>
            </w:pPr>
          </w:p>
        </w:tc>
        <w:tc>
          <w:tcPr>
            <w:tcW w:w="1509" w:type="dxa"/>
            <w:vAlign w:val="center"/>
          </w:tcPr>
          <w:p w14:paraId="37199305">
            <w:pPr>
              <w:tabs>
                <w:tab w:val="left" w:pos="6300"/>
              </w:tabs>
              <w:snapToGrid w:val="0"/>
              <w:spacing w:line="312" w:lineRule="auto"/>
              <w:jc w:val="center"/>
              <w:outlineLvl w:val="0"/>
              <w:rPr>
                <w:rFonts w:ascii="宋体" w:hAnsi="宋体" w:cs="宋体"/>
              </w:rPr>
            </w:pPr>
          </w:p>
        </w:tc>
        <w:tc>
          <w:tcPr>
            <w:tcW w:w="1341" w:type="dxa"/>
            <w:vAlign w:val="center"/>
          </w:tcPr>
          <w:p w14:paraId="6E71F614">
            <w:pPr>
              <w:tabs>
                <w:tab w:val="left" w:pos="6300"/>
              </w:tabs>
              <w:snapToGrid w:val="0"/>
              <w:spacing w:line="312" w:lineRule="auto"/>
              <w:jc w:val="center"/>
              <w:outlineLvl w:val="0"/>
              <w:rPr>
                <w:rFonts w:ascii="宋体" w:hAnsi="宋体" w:cs="宋体"/>
              </w:rPr>
            </w:pPr>
          </w:p>
        </w:tc>
      </w:tr>
    </w:tbl>
    <w:p w14:paraId="776527E6">
      <w:pPr>
        <w:spacing w:line="312" w:lineRule="auto"/>
        <w:ind w:firstLine="525" w:firstLineChars="250"/>
        <w:rPr>
          <w:rFonts w:ascii="宋体" w:hAnsi="宋体" w:cs="宋体"/>
        </w:rPr>
      </w:pPr>
      <w:r>
        <w:rPr>
          <w:rFonts w:hint="eastAsia" w:ascii="宋体" w:hAnsi="宋体" w:cs="宋体"/>
        </w:rPr>
        <w:t>供应商：                                      法人授权代表：</w:t>
      </w:r>
    </w:p>
    <w:p w14:paraId="3ED6F546">
      <w:pPr>
        <w:spacing w:line="312" w:lineRule="auto"/>
        <w:rPr>
          <w:rFonts w:ascii="宋体" w:hAnsi="宋体" w:cs="宋体"/>
        </w:rPr>
      </w:pPr>
      <w:r>
        <w:rPr>
          <w:rFonts w:hint="eastAsia" w:ascii="宋体" w:hAnsi="宋体" w:cs="宋体"/>
        </w:rPr>
        <w:t xml:space="preserve">    </w:t>
      </w:r>
    </w:p>
    <w:p w14:paraId="2890DC24">
      <w:pPr>
        <w:spacing w:line="312" w:lineRule="auto"/>
        <w:ind w:firstLine="630" w:firstLineChars="300"/>
        <w:rPr>
          <w:rFonts w:ascii="宋体" w:hAnsi="宋体" w:cs="宋体"/>
        </w:rPr>
      </w:pPr>
      <w:r>
        <w:rPr>
          <w:rFonts w:hint="eastAsia" w:ascii="宋体" w:hAnsi="宋体" w:cs="宋体"/>
        </w:rPr>
        <w:t>（供应商公章）                               （签字或盖章）</w:t>
      </w:r>
    </w:p>
    <w:p w14:paraId="4793C30D">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263EDDD4">
      <w:pPr>
        <w:pStyle w:val="14"/>
        <w:ind w:firstLine="420"/>
      </w:pPr>
    </w:p>
    <w:p w14:paraId="0C1575C0">
      <w:pPr>
        <w:numPr>
          <w:ilvl w:val="0"/>
          <w:numId w:val="16"/>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3D664F7B">
      <w:pPr>
        <w:numPr>
          <w:ilvl w:val="0"/>
          <w:numId w:val="16"/>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FCEB3F7">
      <w:pPr>
        <w:numPr>
          <w:ilvl w:val="0"/>
          <w:numId w:val="16"/>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64FB2B9">
      <w:pPr>
        <w:numPr>
          <w:ilvl w:val="0"/>
          <w:numId w:val="16"/>
        </w:numPr>
        <w:ind w:firstLine="480"/>
      </w:pPr>
      <w:r>
        <w:rPr>
          <w:rFonts w:hint="eastAsia"/>
        </w:rPr>
        <w:t>“</w:t>
      </w:r>
      <w:r>
        <w:t>备注</w:t>
      </w:r>
      <w:r>
        <w:rPr>
          <w:rFonts w:hint="eastAsia"/>
        </w:rPr>
        <w:t>”</w:t>
      </w:r>
      <w:r>
        <w:t>处可填写偏离情况的说明。</w:t>
      </w:r>
    </w:p>
    <w:p w14:paraId="1AFCB1B0">
      <w:pPr>
        <w:pStyle w:val="14"/>
        <w:ind w:firstLine="420"/>
      </w:pPr>
    </w:p>
    <w:p w14:paraId="42274FF6">
      <w:pPr>
        <w:ind w:firstLine="480"/>
      </w:pPr>
    </w:p>
    <w:p w14:paraId="0A963821">
      <w:pPr>
        <w:pStyle w:val="14"/>
        <w:ind w:firstLine="420"/>
      </w:pPr>
    </w:p>
    <w:p w14:paraId="408BFDE8">
      <w:pPr>
        <w:pStyle w:val="4"/>
        <w:numPr>
          <w:ilvl w:val="2"/>
          <w:numId w:val="0"/>
        </w:numPr>
        <w:ind w:firstLine="1968" w:firstLineChars="700"/>
      </w:pPr>
      <w:r>
        <w:rPr>
          <w:rFonts w:hint="eastAsia"/>
          <w:lang w:val="en-US" w:eastAsia="zh-CN"/>
        </w:rPr>
        <w:t>七</w:t>
      </w:r>
      <w:r>
        <w:rPr>
          <w:rFonts w:hint="eastAsia"/>
        </w:rPr>
        <w:t>、商务响应偏离表</w:t>
      </w:r>
    </w:p>
    <w:p w14:paraId="13F11FBD">
      <w:pPr>
        <w:snapToGrid w:val="0"/>
        <w:spacing w:line="360" w:lineRule="auto"/>
        <w:rPr>
          <w:rFonts w:hint="default" w:ascii="宋体" w:hAnsi="宋体" w:cs="宋体"/>
          <w:lang w:val="en-US"/>
        </w:rPr>
      </w:pPr>
      <w:r>
        <w:rPr>
          <w:rFonts w:hint="eastAsia" w:ascii="宋体" w:hAnsi="宋体" w:cs="宋体"/>
        </w:rPr>
        <w:t>项目名称：</w:t>
      </w:r>
      <w:r>
        <w:rPr>
          <w:rFonts w:hint="eastAsia" w:asciiTheme="minorEastAsia" w:hAnsiTheme="minorEastAsia" w:eastAsiaTheme="minorEastAsia" w:cstheme="minorEastAsia"/>
          <w:b w:val="0"/>
          <w:bCs/>
          <w:sz w:val="21"/>
          <w:szCs w:val="21"/>
          <w:lang w:val="en-US" w:eastAsia="zh-CN"/>
        </w:rPr>
        <w:t>堡垒机系统</w:t>
      </w:r>
      <w:r>
        <w:rPr>
          <w:rFonts w:hint="eastAsia" w:asciiTheme="minorEastAsia" w:hAnsiTheme="minorEastAsia" w:cstheme="minorEastAsia"/>
          <w:b w:val="0"/>
          <w:bCs/>
          <w:sz w:val="21"/>
          <w:szCs w:val="21"/>
          <w:lang w:val="en-US" w:eastAsia="zh-CN"/>
        </w:rPr>
        <w:t>采购</w:t>
      </w:r>
    </w:p>
    <w:tbl>
      <w:tblPr>
        <w:tblStyle w:val="9"/>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6D63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231C8199">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426A56DF">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00564A69">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5CAF9CEC">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798F0AEE">
            <w:pPr>
              <w:tabs>
                <w:tab w:val="left" w:pos="6300"/>
              </w:tabs>
              <w:snapToGrid w:val="0"/>
              <w:spacing w:line="360" w:lineRule="auto"/>
              <w:jc w:val="center"/>
              <w:outlineLvl w:val="0"/>
            </w:pPr>
            <w:r>
              <w:rPr>
                <w:rFonts w:hint="eastAsia"/>
              </w:rPr>
              <w:t>备注</w:t>
            </w:r>
          </w:p>
        </w:tc>
      </w:tr>
      <w:tr w14:paraId="6710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BA24DF5">
            <w:pPr>
              <w:tabs>
                <w:tab w:val="left" w:pos="6300"/>
              </w:tabs>
              <w:snapToGrid w:val="0"/>
              <w:spacing w:line="360" w:lineRule="auto"/>
              <w:jc w:val="center"/>
              <w:outlineLvl w:val="0"/>
              <w:rPr>
                <w:rFonts w:ascii="宋体" w:hAnsi="宋体" w:cs="宋体"/>
              </w:rPr>
            </w:pPr>
          </w:p>
        </w:tc>
        <w:tc>
          <w:tcPr>
            <w:tcW w:w="2400" w:type="dxa"/>
            <w:vAlign w:val="center"/>
          </w:tcPr>
          <w:p w14:paraId="2AC261B3">
            <w:pPr>
              <w:tabs>
                <w:tab w:val="left" w:pos="6300"/>
              </w:tabs>
              <w:snapToGrid w:val="0"/>
              <w:spacing w:line="360" w:lineRule="auto"/>
              <w:jc w:val="center"/>
              <w:outlineLvl w:val="0"/>
              <w:rPr>
                <w:rFonts w:ascii="宋体" w:hAnsi="宋体" w:cs="宋体"/>
              </w:rPr>
            </w:pPr>
          </w:p>
        </w:tc>
        <w:tc>
          <w:tcPr>
            <w:tcW w:w="2600" w:type="dxa"/>
            <w:vAlign w:val="center"/>
          </w:tcPr>
          <w:p w14:paraId="4232F0BE">
            <w:pPr>
              <w:tabs>
                <w:tab w:val="left" w:pos="6300"/>
              </w:tabs>
              <w:snapToGrid w:val="0"/>
              <w:spacing w:line="360" w:lineRule="auto"/>
              <w:jc w:val="center"/>
              <w:outlineLvl w:val="0"/>
              <w:rPr>
                <w:rFonts w:ascii="宋体" w:hAnsi="宋体" w:cs="宋体"/>
              </w:rPr>
            </w:pPr>
          </w:p>
        </w:tc>
        <w:tc>
          <w:tcPr>
            <w:tcW w:w="1275" w:type="dxa"/>
            <w:vAlign w:val="center"/>
          </w:tcPr>
          <w:p w14:paraId="41D61EB2">
            <w:pPr>
              <w:tabs>
                <w:tab w:val="left" w:pos="6300"/>
              </w:tabs>
              <w:snapToGrid w:val="0"/>
              <w:spacing w:line="360" w:lineRule="auto"/>
              <w:jc w:val="center"/>
              <w:outlineLvl w:val="0"/>
              <w:rPr>
                <w:rFonts w:ascii="宋体" w:hAnsi="宋体" w:cs="宋体"/>
              </w:rPr>
            </w:pPr>
          </w:p>
        </w:tc>
        <w:tc>
          <w:tcPr>
            <w:tcW w:w="1275" w:type="dxa"/>
            <w:vAlign w:val="center"/>
          </w:tcPr>
          <w:p w14:paraId="64750880">
            <w:pPr>
              <w:tabs>
                <w:tab w:val="left" w:pos="6300"/>
              </w:tabs>
              <w:snapToGrid w:val="0"/>
              <w:spacing w:line="360" w:lineRule="auto"/>
              <w:jc w:val="center"/>
              <w:outlineLvl w:val="0"/>
              <w:rPr>
                <w:rFonts w:ascii="宋体" w:hAnsi="宋体" w:cs="宋体"/>
              </w:rPr>
            </w:pPr>
          </w:p>
        </w:tc>
      </w:tr>
      <w:tr w14:paraId="0B5D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C2024EA">
            <w:pPr>
              <w:tabs>
                <w:tab w:val="left" w:pos="6300"/>
              </w:tabs>
              <w:snapToGrid w:val="0"/>
              <w:spacing w:line="360" w:lineRule="auto"/>
              <w:jc w:val="center"/>
              <w:outlineLvl w:val="0"/>
              <w:rPr>
                <w:rFonts w:ascii="宋体" w:hAnsi="宋体" w:cs="宋体"/>
              </w:rPr>
            </w:pPr>
          </w:p>
        </w:tc>
        <w:tc>
          <w:tcPr>
            <w:tcW w:w="2400" w:type="dxa"/>
            <w:vAlign w:val="center"/>
          </w:tcPr>
          <w:p w14:paraId="3572DE2C">
            <w:pPr>
              <w:tabs>
                <w:tab w:val="left" w:pos="6300"/>
              </w:tabs>
              <w:snapToGrid w:val="0"/>
              <w:spacing w:line="360" w:lineRule="auto"/>
              <w:jc w:val="center"/>
              <w:outlineLvl w:val="0"/>
              <w:rPr>
                <w:rFonts w:ascii="宋体" w:hAnsi="宋体" w:cs="宋体"/>
              </w:rPr>
            </w:pPr>
          </w:p>
        </w:tc>
        <w:tc>
          <w:tcPr>
            <w:tcW w:w="2600" w:type="dxa"/>
            <w:vAlign w:val="center"/>
          </w:tcPr>
          <w:p w14:paraId="0C69E29D">
            <w:pPr>
              <w:tabs>
                <w:tab w:val="left" w:pos="6300"/>
              </w:tabs>
              <w:snapToGrid w:val="0"/>
              <w:spacing w:line="360" w:lineRule="auto"/>
              <w:jc w:val="center"/>
              <w:outlineLvl w:val="0"/>
              <w:rPr>
                <w:rFonts w:ascii="宋体" w:hAnsi="宋体" w:cs="宋体"/>
              </w:rPr>
            </w:pPr>
          </w:p>
        </w:tc>
        <w:tc>
          <w:tcPr>
            <w:tcW w:w="1275" w:type="dxa"/>
            <w:vAlign w:val="center"/>
          </w:tcPr>
          <w:p w14:paraId="61229414">
            <w:pPr>
              <w:tabs>
                <w:tab w:val="left" w:pos="6300"/>
              </w:tabs>
              <w:snapToGrid w:val="0"/>
              <w:spacing w:line="360" w:lineRule="auto"/>
              <w:jc w:val="center"/>
              <w:outlineLvl w:val="0"/>
              <w:rPr>
                <w:rFonts w:ascii="宋体" w:hAnsi="宋体" w:cs="宋体"/>
              </w:rPr>
            </w:pPr>
          </w:p>
        </w:tc>
        <w:tc>
          <w:tcPr>
            <w:tcW w:w="1275" w:type="dxa"/>
            <w:vAlign w:val="center"/>
          </w:tcPr>
          <w:p w14:paraId="02FD8E2C">
            <w:pPr>
              <w:tabs>
                <w:tab w:val="left" w:pos="6300"/>
              </w:tabs>
              <w:snapToGrid w:val="0"/>
              <w:spacing w:line="360" w:lineRule="auto"/>
              <w:jc w:val="center"/>
              <w:outlineLvl w:val="0"/>
              <w:rPr>
                <w:rFonts w:ascii="宋体" w:hAnsi="宋体" w:cs="宋体"/>
              </w:rPr>
            </w:pPr>
          </w:p>
        </w:tc>
      </w:tr>
      <w:tr w14:paraId="1C38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57E6C5C">
            <w:pPr>
              <w:tabs>
                <w:tab w:val="left" w:pos="6300"/>
              </w:tabs>
              <w:snapToGrid w:val="0"/>
              <w:spacing w:line="360" w:lineRule="auto"/>
              <w:jc w:val="center"/>
              <w:outlineLvl w:val="0"/>
              <w:rPr>
                <w:rFonts w:ascii="宋体" w:hAnsi="宋体" w:cs="宋体"/>
              </w:rPr>
            </w:pPr>
          </w:p>
        </w:tc>
        <w:tc>
          <w:tcPr>
            <w:tcW w:w="2400" w:type="dxa"/>
            <w:vAlign w:val="center"/>
          </w:tcPr>
          <w:p w14:paraId="41B3EEB4">
            <w:pPr>
              <w:tabs>
                <w:tab w:val="left" w:pos="6300"/>
              </w:tabs>
              <w:snapToGrid w:val="0"/>
              <w:spacing w:line="360" w:lineRule="auto"/>
              <w:jc w:val="center"/>
              <w:outlineLvl w:val="0"/>
              <w:rPr>
                <w:rFonts w:ascii="宋体" w:hAnsi="宋体" w:cs="宋体"/>
              </w:rPr>
            </w:pPr>
          </w:p>
        </w:tc>
        <w:tc>
          <w:tcPr>
            <w:tcW w:w="2600" w:type="dxa"/>
            <w:vAlign w:val="center"/>
          </w:tcPr>
          <w:p w14:paraId="7E9A1253">
            <w:pPr>
              <w:tabs>
                <w:tab w:val="left" w:pos="6300"/>
              </w:tabs>
              <w:snapToGrid w:val="0"/>
              <w:spacing w:line="360" w:lineRule="auto"/>
              <w:jc w:val="center"/>
              <w:outlineLvl w:val="0"/>
              <w:rPr>
                <w:rFonts w:ascii="宋体" w:hAnsi="宋体" w:cs="宋体"/>
              </w:rPr>
            </w:pPr>
          </w:p>
        </w:tc>
        <w:tc>
          <w:tcPr>
            <w:tcW w:w="1275" w:type="dxa"/>
            <w:vAlign w:val="center"/>
          </w:tcPr>
          <w:p w14:paraId="76BD3633">
            <w:pPr>
              <w:tabs>
                <w:tab w:val="left" w:pos="6300"/>
              </w:tabs>
              <w:snapToGrid w:val="0"/>
              <w:spacing w:line="360" w:lineRule="auto"/>
              <w:jc w:val="center"/>
              <w:outlineLvl w:val="0"/>
              <w:rPr>
                <w:rFonts w:ascii="宋体" w:hAnsi="宋体" w:cs="宋体"/>
              </w:rPr>
            </w:pPr>
          </w:p>
        </w:tc>
        <w:tc>
          <w:tcPr>
            <w:tcW w:w="1275" w:type="dxa"/>
            <w:vAlign w:val="center"/>
          </w:tcPr>
          <w:p w14:paraId="2322F0ED">
            <w:pPr>
              <w:tabs>
                <w:tab w:val="left" w:pos="6300"/>
              </w:tabs>
              <w:snapToGrid w:val="0"/>
              <w:spacing w:line="360" w:lineRule="auto"/>
              <w:jc w:val="center"/>
              <w:outlineLvl w:val="0"/>
              <w:rPr>
                <w:rFonts w:ascii="宋体" w:hAnsi="宋体" w:cs="宋体"/>
              </w:rPr>
            </w:pPr>
          </w:p>
        </w:tc>
      </w:tr>
      <w:tr w14:paraId="40A9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9AB7A19">
            <w:pPr>
              <w:tabs>
                <w:tab w:val="left" w:pos="6300"/>
              </w:tabs>
              <w:snapToGrid w:val="0"/>
              <w:spacing w:line="360" w:lineRule="auto"/>
              <w:jc w:val="center"/>
              <w:outlineLvl w:val="0"/>
              <w:rPr>
                <w:rFonts w:ascii="宋体" w:hAnsi="宋体" w:cs="宋体"/>
              </w:rPr>
            </w:pPr>
          </w:p>
        </w:tc>
        <w:tc>
          <w:tcPr>
            <w:tcW w:w="2400" w:type="dxa"/>
            <w:vAlign w:val="center"/>
          </w:tcPr>
          <w:p w14:paraId="434C1529">
            <w:pPr>
              <w:tabs>
                <w:tab w:val="left" w:pos="6300"/>
              </w:tabs>
              <w:snapToGrid w:val="0"/>
              <w:spacing w:line="360" w:lineRule="auto"/>
              <w:jc w:val="center"/>
              <w:outlineLvl w:val="0"/>
              <w:rPr>
                <w:rFonts w:ascii="宋体" w:hAnsi="宋体" w:cs="宋体"/>
              </w:rPr>
            </w:pPr>
          </w:p>
        </w:tc>
        <w:tc>
          <w:tcPr>
            <w:tcW w:w="2600" w:type="dxa"/>
            <w:vAlign w:val="center"/>
          </w:tcPr>
          <w:p w14:paraId="4659EAC1">
            <w:pPr>
              <w:tabs>
                <w:tab w:val="left" w:pos="6300"/>
              </w:tabs>
              <w:snapToGrid w:val="0"/>
              <w:spacing w:line="360" w:lineRule="auto"/>
              <w:jc w:val="center"/>
              <w:outlineLvl w:val="0"/>
              <w:rPr>
                <w:rFonts w:ascii="宋体" w:hAnsi="宋体" w:cs="宋体"/>
              </w:rPr>
            </w:pPr>
          </w:p>
        </w:tc>
        <w:tc>
          <w:tcPr>
            <w:tcW w:w="1275" w:type="dxa"/>
            <w:vAlign w:val="center"/>
          </w:tcPr>
          <w:p w14:paraId="54C7D8F9">
            <w:pPr>
              <w:tabs>
                <w:tab w:val="left" w:pos="6300"/>
              </w:tabs>
              <w:snapToGrid w:val="0"/>
              <w:spacing w:line="360" w:lineRule="auto"/>
              <w:jc w:val="center"/>
              <w:outlineLvl w:val="0"/>
              <w:rPr>
                <w:rFonts w:ascii="宋体" w:hAnsi="宋体" w:cs="宋体"/>
              </w:rPr>
            </w:pPr>
          </w:p>
        </w:tc>
        <w:tc>
          <w:tcPr>
            <w:tcW w:w="1275" w:type="dxa"/>
            <w:vAlign w:val="center"/>
          </w:tcPr>
          <w:p w14:paraId="5F21A3CF">
            <w:pPr>
              <w:tabs>
                <w:tab w:val="left" w:pos="6300"/>
              </w:tabs>
              <w:snapToGrid w:val="0"/>
              <w:spacing w:line="360" w:lineRule="auto"/>
              <w:jc w:val="center"/>
              <w:outlineLvl w:val="0"/>
              <w:rPr>
                <w:rFonts w:ascii="宋体" w:hAnsi="宋体" w:cs="宋体"/>
              </w:rPr>
            </w:pPr>
          </w:p>
        </w:tc>
      </w:tr>
      <w:tr w14:paraId="1E4D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DDC28A9">
            <w:pPr>
              <w:tabs>
                <w:tab w:val="left" w:pos="6300"/>
              </w:tabs>
              <w:snapToGrid w:val="0"/>
              <w:spacing w:line="360" w:lineRule="auto"/>
              <w:jc w:val="center"/>
              <w:outlineLvl w:val="0"/>
              <w:rPr>
                <w:rFonts w:ascii="宋体" w:hAnsi="宋体" w:cs="宋体"/>
              </w:rPr>
            </w:pPr>
          </w:p>
        </w:tc>
        <w:tc>
          <w:tcPr>
            <w:tcW w:w="2400" w:type="dxa"/>
            <w:vAlign w:val="center"/>
          </w:tcPr>
          <w:p w14:paraId="0645C52F">
            <w:pPr>
              <w:tabs>
                <w:tab w:val="left" w:pos="6300"/>
              </w:tabs>
              <w:snapToGrid w:val="0"/>
              <w:spacing w:line="360" w:lineRule="auto"/>
              <w:jc w:val="center"/>
              <w:outlineLvl w:val="0"/>
              <w:rPr>
                <w:rFonts w:ascii="宋体" w:hAnsi="宋体" w:cs="宋体"/>
              </w:rPr>
            </w:pPr>
          </w:p>
        </w:tc>
        <w:tc>
          <w:tcPr>
            <w:tcW w:w="2600" w:type="dxa"/>
            <w:vAlign w:val="center"/>
          </w:tcPr>
          <w:p w14:paraId="00EB80CE">
            <w:pPr>
              <w:tabs>
                <w:tab w:val="left" w:pos="6300"/>
              </w:tabs>
              <w:snapToGrid w:val="0"/>
              <w:spacing w:line="360" w:lineRule="auto"/>
              <w:jc w:val="center"/>
              <w:outlineLvl w:val="0"/>
              <w:rPr>
                <w:rFonts w:ascii="宋体" w:hAnsi="宋体" w:cs="宋体"/>
              </w:rPr>
            </w:pPr>
          </w:p>
        </w:tc>
        <w:tc>
          <w:tcPr>
            <w:tcW w:w="1275" w:type="dxa"/>
            <w:vAlign w:val="center"/>
          </w:tcPr>
          <w:p w14:paraId="759C9655">
            <w:pPr>
              <w:tabs>
                <w:tab w:val="left" w:pos="6300"/>
              </w:tabs>
              <w:snapToGrid w:val="0"/>
              <w:spacing w:line="360" w:lineRule="auto"/>
              <w:jc w:val="center"/>
              <w:outlineLvl w:val="0"/>
              <w:rPr>
                <w:rFonts w:ascii="宋体" w:hAnsi="宋体" w:cs="宋体"/>
              </w:rPr>
            </w:pPr>
          </w:p>
        </w:tc>
        <w:tc>
          <w:tcPr>
            <w:tcW w:w="1275" w:type="dxa"/>
            <w:vAlign w:val="center"/>
          </w:tcPr>
          <w:p w14:paraId="6EF9A8E5">
            <w:pPr>
              <w:tabs>
                <w:tab w:val="left" w:pos="6300"/>
              </w:tabs>
              <w:snapToGrid w:val="0"/>
              <w:spacing w:line="360" w:lineRule="auto"/>
              <w:jc w:val="center"/>
              <w:outlineLvl w:val="0"/>
              <w:rPr>
                <w:rFonts w:ascii="宋体" w:hAnsi="宋体" w:cs="宋体"/>
              </w:rPr>
            </w:pPr>
          </w:p>
        </w:tc>
      </w:tr>
      <w:tr w14:paraId="2F5C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6FD6836">
            <w:pPr>
              <w:tabs>
                <w:tab w:val="left" w:pos="6300"/>
              </w:tabs>
              <w:snapToGrid w:val="0"/>
              <w:spacing w:line="360" w:lineRule="auto"/>
              <w:jc w:val="center"/>
              <w:outlineLvl w:val="0"/>
              <w:rPr>
                <w:rFonts w:ascii="宋体" w:hAnsi="宋体" w:cs="宋体"/>
              </w:rPr>
            </w:pPr>
          </w:p>
        </w:tc>
        <w:tc>
          <w:tcPr>
            <w:tcW w:w="2400" w:type="dxa"/>
            <w:vAlign w:val="center"/>
          </w:tcPr>
          <w:p w14:paraId="7FC84BC5">
            <w:pPr>
              <w:tabs>
                <w:tab w:val="left" w:pos="6300"/>
              </w:tabs>
              <w:snapToGrid w:val="0"/>
              <w:spacing w:line="360" w:lineRule="auto"/>
              <w:jc w:val="center"/>
              <w:outlineLvl w:val="0"/>
              <w:rPr>
                <w:rFonts w:ascii="宋体" w:hAnsi="宋体" w:cs="宋体"/>
              </w:rPr>
            </w:pPr>
          </w:p>
        </w:tc>
        <w:tc>
          <w:tcPr>
            <w:tcW w:w="2600" w:type="dxa"/>
            <w:vAlign w:val="center"/>
          </w:tcPr>
          <w:p w14:paraId="6890E3A0">
            <w:pPr>
              <w:tabs>
                <w:tab w:val="left" w:pos="6300"/>
              </w:tabs>
              <w:snapToGrid w:val="0"/>
              <w:spacing w:line="360" w:lineRule="auto"/>
              <w:jc w:val="center"/>
              <w:outlineLvl w:val="0"/>
              <w:rPr>
                <w:rFonts w:ascii="宋体" w:hAnsi="宋体" w:cs="宋体"/>
              </w:rPr>
            </w:pPr>
          </w:p>
        </w:tc>
        <w:tc>
          <w:tcPr>
            <w:tcW w:w="1275" w:type="dxa"/>
            <w:vAlign w:val="center"/>
          </w:tcPr>
          <w:p w14:paraId="36676D86">
            <w:pPr>
              <w:tabs>
                <w:tab w:val="left" w:pos="6300"/>
              </w:tabs>
              <w:snapToGrid w:val="0"/>
              <w:spacing w:line="360" w:lineRule="auto"/>
              <w:jc w:val="center"/>
              <w:outlineLvl w:val="0"/>
              <w:rPr>
                <w:rFonts w:ascii="宋体" w:hAnsi="宋体" w:cs="宋体"/>
              </w:rPr>
            </w:pPr>
          </w:p>
        </w:tc>
        <w:tc>
          <w:tcPr>
            <w:tcW w:w="1275" w:type="dxa"/>
            <w:vAlign w:val="center"/>
          </w:tcPr>
          <w:p w14:paraId="453B785F">
            <w:pPr>
              <w:tabs>
                <w:tab w:val="left" w:pos="6300"/>
              </w:tabs>
              <w:snapToGrid w:val="0"/>
              <w:spacing w:line="360" w:lineRule="auto"/>
              <w:jc w:val="center"/>
              <w:outlineLvl w:val="0"/>
              <w:rPr>
                <w:rFonts w:ascii="宋体" w:hAnsi="宋体" w:cs="宋体"/>
              </w:rPr>
            </w:pPr>
          </w:p>
        </w:tc>
      </w:tr>
    </w:tbl>
    <w:p w14:paraId="689CB766">
      <w:pPr>
        <w:snapToGrid w:val="0"/>
        <w:spacing w:line="360" w:lineRule="auto"/>
        <w:ind w:firstLine="465"/>
        <w:rPr>
          <w:rFonts w:ascii="宋体" w:hAnsi="宋体" w:cs="宋体"/>
        </w:rPr>
      </w:pPr>
    </w:p>
    <w:p w14:paraId="13C77485">
      <w:pPr>
        <w:spacing w:line="360" w:lineRule="auto"/>
        <w:ind w:firstLine="525" w:firstLineChars="250"/>
        <w:rPr>
          <w:rFonts w:ascii="宋体" w:hAnsi="宋体" w:cs="宋体"/>
        </w:rPr>
      </w:pPr>
      <w:r>
        <w:rPr>
          <w:rFonts w:hint="eastAsia" w:ascii="宋体" w:hAnsi="宋体" w:cs="宋体"/>
        </w:rPr>
        <w:t>供应商：                                      法人授权代表：</w:t>
      </w:r>
    </w:p>
    <w:p w14:paraId="50DDC389">
      <w:pPr>
        <w:spacing w:line="360" w:lineRule="auto"/>
        <w:rPr>
          <w:rFonts w:ascii="宋体" w:hAnsi="宋体" w:cs="宋体"/>
        </w:rPr>
      </w:pPr>
      <w:r>
        <w:rPr>
          <w:rFonts w:hint="eastAsia" w:ascii="宋体" w:hAnsi="宋体" w:cs="宋体"/>
        </w:rPr>
        <w:t xml:space="preserve">    </w:t>
      </w:r>
    </w:p>
    <w:p w14:paraId="4325F39B">
      <w:pPr>
        <w:spacing w:line="360" w:lineRule="auto"/>
        <w:ind w:firstLine="315" w:firstLineChars="150"/>
        <w:rPr>
          <w:rFonts w:ascii="宋体" w:hAnsi="宋体" w:cs="宋体"/>
        </w:rPr>
      </w:pPr>
      <w:r>
        <w:rPr>
          <w:rFonts w:hint="eastAsia" w:ascii="宋体" w:hAnsi="宋体" w:cs="宋体"/>
        </w:rPr>
        <w:t>（供应商公章）                                 （签字或盖章）</w:t>
      </w:r>
    </w:p>
    <w:p w14:paraId="236E0AAC">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75AFAA25">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6A97CDD6">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21EEB8F">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06B48F9">
      <w:pPr>
        <w:ind w:left="480"/>
      </w:pPr>
      <w:r>
        <w:rPr>
          <w:rFonts w:hint="eastAsia"/>
        </w:rPr>
        <w:t>4. “</w:t>
      </w:r>
      <w:r>
        <w:t>备注</w:t>
      </w:r>
      <w:r>
        <w:rPr>
          <w:rFonts w:hint="eastAsia"/>
        </w:rPr>
        <w:t>”</w:t>
      </w:r>
      <w:r>
        <w:t>处可填写偏离情况的说明。</w:t>
      </w:r>
    </w:p>
    <w:p w14:paraId="3DD5C349">
      <w:pPr>
        <w:ind w:firstLine="480"/>
      </w:pPr>
    </w:p>
    <w:p w14:paraId="296D7A79">
      <w:pPr>
        <w:rPr>
          <w:rFonts w:ascii="华文细黑" w:hAnsi="华文细黑" w:eastAsia="华文细黑" w:cs="华文细黑"/>
        </w:rPr>
      </w:pPr>
    </w:p>
    <w:p w14:paraId="7215484B">
      <w:pPr>
        <w:pStyle w:val="14"/>
        <w:ind w:firstLine="420"/>
      </w:pPr>
    </w:p>
    <w:p w14:paraId="42B67E2F">
      <w:pPr>
        <w:pStyle w:val="12"/>
        <w:rPr>
          <w:rFonts w:ascii="宋体" w:hAnsi="宋体" w:cs="宋体"/>
        </w:rPr>
      </w:pPr>
    </w:p>
    <w:p w14:paraId="3AC7B884">
      <w:pPr>
        <w:pStyle w:val="12"/>
        <w:rPr>
          <w:rFonts w:ascii="宋体" w:hAnsi="宋体" w:cs="宋体"/>
        </w:rPr>
      </w:pPr>
    </w:p>
    <w:p w14:paraId="332C241E"/>
    <w:p w14:paraId="5059F24C">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A4A4">
    <w:pPr>
      <w:spacing w:line="181" w:lineRule="auto"/>
      <w:ind w:left="4479"/>
      <w:rPr>
        <w:rFonts w:hint="eastAsia" w:ascii="宋体" w:hAnsi="宋体"/>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CB53">
    <w:pPr>
      <w:spacing w:before="40" w:line="20" w:lineRule="exact"/>
      <w:textAlignment w:val="center"/>
    </w:pPr>
    <w:r>
      <w:drawing>
        <wp:inline distT="0" distB="0" distL="0" distR="0">
          <wp:extent cx="5588000" cy="12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588032" cy="12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leftChars="0" w:hanging="370" w:firstLineChars="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BB9C2A6"/>
    <w:multiLevelType w:val="singleLevel"/>
    <w:tmpl w:val="8BB9C2A6"/>
    <w:lvl w:ilvl="0" w:tentative="0">
      <w:start w:val="1"/>
      <w:numFmt w:val="decimal"/>
      <w:lvlText w:val="%1."/>
      <w:lvlJc w:val="left"/>
      <w:pPr>
        <w:tabs>
          <w:tab w:val="left" w:pos="312"/>
        </w:tabs>
      </w:pPr>
    </w:lvl>
  </w:abstractNum>
  <w:abstractNum w:abstractNumId="2">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3">
    <w:nsid w:val="A1B894A6"/>
    <w:multiLevelType w:val="singleLevel"/>
    <w:tmpl w:val="A1B894A6"/>
    <w:lvl w:ilvl="0" w:tentative="0">
      <w:start w:val="1"/>
      <w:numFmt w:val="decimal"/>
      <w:lvlText w:val="%1."/>
      <w:lvlJc w:val="left"/>
      <w:pPr>
        <w:tabs>
          <w:tab w:val="left" w:pos="312"/>
        </w:tabs>
      </w:pPr>
    </w:lvl>
  </w:abstractNum>
  <w:abstractNum w:abstractNumId="4">
    <w:nsid w:val="D92E59F4"/>
    <w:multiLevelType w:val="singleLevel"/>
    <w:tmpl w:val="D92E59F4"/>
    <w:lvl w:ilvl="0" w:tentative="0">
      <w:start w:val="1"/>
      <w:numFmt w:val="decimal"/>
      <w:lvlText w:val="%1."/>
      <w:lvlJc w:val="left"/>
      <w:pPr>
        <w:tabs>
          <w:tab w:val="left" w:pos="312"/>
        </w:tabs>
      </w:pPr>
    </w:lvl>
  </w:abstractNum>
  <w:abstractNum w:abstractNumId="5">
    <w:nsid w:val="E93B6318"/>
    <w:multiLevelType w:val="singleLevel"/>
    <w:tmpl w:val="E93B6318"/>
    <w:lvl w:ilvl="0" w:tentative="0">
      <w:start w:val="1"/>
      <w:numFmt w:val="decimal"/>
      <w:lvlText w:val="%1."/>
      <w:lvlJc w:val="left"/>
      <w:pPr>
        <w:tabs>
          <w:tab w:val="left" w:pos="312"/>
        </w:tabs>
      </w:pPr>
    </w:lvl>
  </w:abstractNum>
  <w:abstractNum w:abstractNumId="6">
    <w:nsid w:val="FF84BE75"/>
    <w:multiLevelType w:val="singleLevel"/>
    <w:tmpl w:val="FF84BE75"/>
    <w:lvl w:ilvl="0" w:tentative="0">
      <w:start w:val="1"/>
      <w:numFmt w:val="chineseCounting"/>
      <w:suff w:val="nothing"/>
      <w:lvlText w:val="%1、"/>
      <w:lvlJc w:val="left"/>
      <w:rPr>
        <w:rFonts w:hint="eastAsia"/>
      </w:rPr>
    </w:lvl>
  </w:abstractNum>
  <w:abstractNum w:abstractNumId="7">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058F7B28"/>
    <w:multiLevelType w:val="singleLevel"/>
    <w:tmpl w:val="058F7B28"/>
    <w:lvl w:ilvl="0" w:tentative="0">
      <w:start w:val="3"/>
      <w:numFmt w:val="chineseCounting"/>
      <w:suff w:val="nothing"/>
      <w:lvlText w:val="%1、"/>
      <w:lvlJc w:val="left"/>
      <w:rPr>
        <w:rFonts w:hint="eastAsia"/>
      </w:rPr>
    </w:lvl>
  </w:abstractNum>
  <w:abstractNum w:abstractNumId="9">
    <w:nsid w:val="082F2714"/>
    <w:multiLevelType w:val="multilevel"/>
    <w:tmpl w:val="082F2714"/>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CC03E36"/>
    <w:multiLevelType w:val="singleLevel"/>
    <w:tmpl w:val="0CC03E36"/>
    <w:lvl w:ilvl="0" w:tentative="0">
      <w:start w:val="1"/>
      <w:numFmt w:val="decimal"/>
      <w:lvlText w:val="%1."/>
      <w:lvlJc w:val="left"/>
      <w:pPr>
        <w:tabs>
          <w:tab w:val="left" w:pos="312"/>
        </w:tabs>
      </w:pPr>
    </w:lvl>
  </w:abstractNum>
  <w:abstractNum w:abstractNumId="11">
    <w:nsid w:val="0D937F3E"/>
    <w:multiLevelType w:val="singleLevel"/>
    <w:tmpl w:val="0D937F3E"/>
    <w:lvl w:ilvl="0" w:tentative="0">
      <w:start w:val="9"/>
      <w:numFmt w:val="decimal"/>
      <w:suff w:val="nothing"/>
      <w:lvlText w:val="%1、"/>
      <w:lvlJc w:val="left"/>
    </w:lvl>
  </w:abstractNum>
  <w:abstractNum w:abstractNumId="12">
    <w:nsid w:val="0DFA8525"/>
    <w:multiLevelType w:val="singleLevel"/>
    <w:tmpl w:val="0DFA8525"/>
    <w:lvl w:ilvl="0" w:tentative="0">
      <w:start w:val="1"/>
      <w:numFmt w:val="decimal"/>
      <w:suff w:val="nothing"/>
      <w:lvlText w:val="%1、"/>
      <w:lvlJc w:val="left"/>
    </w:lvl>
  </w:abstractNum>
  <w:abstractNum w:abstractNumId="13">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14">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5">
    <w:nsid w:val="36BA0C7C"/>
    <w:multiLevelType w:val="singleLevel"/>
    <w:tmpl w:val="36BA0C7C"/>
    <w:lvl w:ilvl="0" w:tentative="0">
      <w:start w:val="1"/>
      <w:numFmt w:val="decimal"/>
      <w:suff w:val="nothing"/>
      <w:lvlText w:val="%1．"/>
      <w:lvlJc w:val="left"/>
    </w:lvl>
  </w:abstractNum>
  <w:num w:numId="1">
    <w:abstractNumId w:val="7"/>
  </w:num>
  <w:num w:numId="2">
    <w:abstractNumId w:val="0"/>
  </w:num>
  <w:num w:numId="3">
    <w:abstractNumId w:val="6"/>
  </w:num>
  <w:num w:numId="4">
    <w:abstractNumId w:val="5"/>
  </w:num>
  <w:num w:numId="5">
    <w:abstractNumId w:val="1"/>
  </w:num>
  <w:num w:numId="6">
    <w:abstractNumId w:val="3"/>
  </w:num>
  <w:num w:numId="7">
    <w:abstractNumId w:val="15"/>
  </w:num>
  <w:num w:numId="8">
    <w:abstractNumId w:val="4"/>
  </w:num>
  <w:num w:numId="9">
    <w:abstractNumId w:val="9"/>
  </w:num>
  <w:num w:numId="10">
    <w:abstractNumId w:val="8"/>
  </w:num>
  <w:num w:numId="11">
    <w:abstractNumId w:val="12"/>
  </w:num>
  <w:num w:numId="12">
    <w:abstractNumId w:val="11"/>
  </w:num>
  <w:num w:numId="13">
    <w:abstractNumId w:val="13"/>
  </w:num>
  <w:num w:numId="14">
    <w:abstractNumId w:val="1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WFjYjExZGE4MTc0NWIxYTMyNTM0NmU5ZGE0NGUifQ=="/>
  </w:docVars>
  <w:rsids>
    <w:rsidRoot w:val="00172A27"/>
    <w:rsid w:val="01EC42D0"/>
    <w:rsid w:val="0285790F"/>
    <w:rsid w:val="05351E6A"/>
    <w:rsid w:val="06AC43F8"/>
    <w:rsid w:val="06FA0DFD"/>
    <w:rsid w:val="0C9C3443"/>
    <w:rsid w:val="110A7A5F"/>
    <w:rsid w:val="11141BF4"/>
    <w:rsid w:val="114A6AA7"/>
    <w:rsid w:val="143530C2"/>
    <w:rsid w:val="183D0B4A"/>
    <w:rsid w:val="1A770D10"/>
    <w:rsid w:val="1D0429B3"/>
    <w:rsid w:val="1EAD50B5"/>
    <w:rsid w:val="1F8E7C2B"/>
    <w:rsid w:val="24A71E4C"/>
    <w:rsid w:val="258A22DA"/>
    <w:rsid w:val="290C0055"/>
    <w:rsid w:val="29952C3C"/>
    <w:rsid w:val="2CDE1AA8"/>
    <w:rsid w:val="308E2E55"/>
    <w:rsid w:val="30DC2385"/>
    <w:rsid w:val="32515A00"/>
    <w:rsid w:val="39DF0842"/>
    <w:rsid w:val="3A8827B8"/>
    <w:rsid w:val="3EB03CF1"/>
    <w:rsid w:val="3FA15507"/>
    <w:rsid w:val="3FE931E1"/>
    <w:rsid w:val="465D0485"/>
    <w:rsid w:val="48050878"/>
    <w:rsid w:val="48EC7B2F"/>
    <w:rsid w:val="4B192C5C"/>
    <w:rsid w:val="4EFE20DA"/>
    <w:rsid w:val="50F237B3"/>
    <w:rsid w:val="54FF64C9"/>
    <w:rsid w:val="5A9E38F8"/>
    <w:rsid w:val="5FCF5AF8"/>
    <w:rsid w:val="604C2795"/>
    <w:rsid w:val="611A7247"/>
    <w:rsid w:val="65B521AB"/>
    <w:rsid w:val="67166AA0"/>
    <w:rsid w:val="6AFE7680"/>
    <w:rsid w:val="6E0606F3"/>
    <w:rsid w:val="6EAD16FA"/>
    <w:rsid w:val="74B145BA"/>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5"/>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paragraph" w:styleId="4">
    <w:name w:val="heading 3"/>
    <w:basedOn w:val="1"/>
    <w:next w:val="1"/>
    <w:unhideWhenUsed/>
    <w:qFormat/>
    <w:uiPriority w:val="0"/>
    <w:pPr>
      <w:keepNext/>
      <w:keepLines/>
      <w:numPr>
        <w:ilvl w:val="2"/>
        <w:numId w:val="2"/>
      </w:numPr>
      <w:spacing w:before="20" w:beforeLines="0" w:beforeAutospacing="0" w:after="20" w:afterLines="0" w:afterAutospacing="0" w:line="240" w:lineRule="auto"/>
      <w:ind w:left="720" w:hanging="720"/>
      <w:outlineLvl w:val="2"/>
    </w:pPr>
    <w:rPr>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楷体_GB2312" w:hAnsi="Arial" w:eastAsia="楷体_GB2312"/>
      <w:sz w:val="28"/>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760" w:firstLine="480"/>
    </w:pPr>
  </w:style>
  <w:style w:type="paragraph" w:customStyle="1" w:styleId="13">
    <w:name w:val="Table Paragraph"/>
    <w:basedOn w:val="1"/>
    <w:qFormat/>
    <w:uiPriority w:val="0"/>
    <w:pPr>
      <w:jc w:val="left"/>
    </w:pPr>
    <w:rPr>
      <w:rFonts w:ascii="Calibri" w:hAnsi="Calibri" w:eastAsia="宋体" w:cs="黑体"/>
      <w:kern w:val="0"/>
      <w:sz w:val="22"/>
      <w:lang w:eastAsia="en-US"/>
    </w:rPr>
  </w:style>
  <w:style w:type="paragraph" w:customStyle="1" w:styleId="14">
    <w:name w:val="正文（缩进）"/>
    <w:basedOn w:val="1"/>
    <w:autoRedefine/>
    <w:qFormat/>
    <w:uiPriority w:val="0"/>
    <w:pPr>
      <w:ind w:firstLine="480" w:firstLineChars="200"/>
    </w:pPr>
  </w:style>
  <w:style w:type="character" w:customStyle="1" w:styleId="15">
    <w:name w:val="标题 2 字符"/>
    <w:link w:val="3"/>
    <w:qFormat/>
    <w:uiPriority w:val="0"/>
    <w:rPr>
      <w:rFonts w:ascii="Arial" w:hAnsi="Arial" w:eastAsia="黑体"/>
      <w:b/>
      <w:sz w:val="32"/>
      <w:szCs w:val="24"/>
    </w:rPr>
  </w:style>
  <w:style w:type="paragraph" w:customStyle="1" w:styleId="1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Other|1"/>
    <w:basedOn w:val="1"/>
    <w:qFormat/>
    <w:uiPriority w:val="0"/>
    <w:rPr>
      <w:rFonts w:ascii="宋体" w:hAnsi="宋体" w:cs="宋体"/>
      <w:sz w:val="15"/>
      <w:szCs w:val="15"/>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9995</Words>
  <Characters>10523</Characters>
  <Lines>0</Lines>
  <Paragraphs>0</Paragraphs>
  <TotalTime>1</TotalTime>
  <ScaleCrop>false</ScaleCrop>
  <LinksUpToDate>false</LinksUpToDate>
  <CharactersWithSpaces>10947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2025-04-14T08:02:53Z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