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8C98C">
      <w:pPr>
        <w:spacing w:line="380" w:lineRule="exact"/>
        <w:jc w:val="center"/>
        <w:rPr>
          <w:rFonts w:ascii="微软雅黑" w:hAnsi="微软雅黑" w:eastAsia="微软雅黑" w:cs="微软雅黑"/>
          <w:sz w:val="32"/>
          <w:szCs w:val="32"/>
        </w:rPr>
      </w:pPr>
      <w:bookmarkStart w:id="0" w:name="_Toc19291"/>
      <w:r>
        <w:rPr>
          <w:rFonts w:hint="eastAsia" w:ascii="微软雅黑" w:hAnsi="微软雅黑" w:eastAsia="微软雅黑" w:cs="微软雅黑"/>
          <w:b/>
          <w:bCs/>
          <w:sz w:val="32"/>
          <w:szCs w:val="32"/>
        </w:rPr>
        <w:t>丹阳市人民医院</w:t>
      </w:r>
      <w:bookmarkEnd w:id="0"/>
      <w:r>
        <w:rPr>
          <w:rFonts w:hint="eastAsia" w:ascii="微软雅黑" w:hAnsi="微软雅黑" w:eastAsia="微软雅黑" w:cs="微软雅黑"/>
          <w:b/>
          <w:bCs/>
          <w:sz w:val="32"/>
          <w:szCs w:val="32"/>
        </w:rPr>
        <w:t>终端安全和准入控制系统采购</w:t>
      </w:r>
      <w:r>
        <w:rPr>
          <w:rFonts w:hint="eastAsia" w:ascii="微软雅黑" w:hAnsi="微软雅黑" w:eastAsia="微软雅黑" w:cs="微软雅黑"/>
          <w:b/>
          <w:bCs/>
          <w:spacing w:val="-3"/>
          <w:sz w:val="32"/>
          <w:szCs w:val="32"/>
        </w:rPr>
        <w:t>比选文件</w:t>
      </w:r>
    </w:p>
    <w:p w14:paraId="6A840C59">
      <w:pPr>
        <w:numPr>
          <w:ilvl w:val="0"/>
          <w:numId w:val="3"/>
        </w:numPr>
        <w:spacing w:line="380" w:lineRule="exact"/>
        <w:rPr>
          <w:rFonts w:ascii="微软雅黑" w:hAnsi="微软雅黑" w:eastAsia="微软雅黑" w:cs="微软雅黑"/>
          <w:b/>
          <w:bCs/>
          <w:szCs w:val="21"/>
        </w:rPr>
      </w:pPr>
      <w:r>
        <w:rPr>
          <w:rFonts w:hint="eastAsia" w:ascii="微软雅黑" w:hAnsi="微软雅黑" w:eastAsia="微软雅黑" w:cs="微软雅黑"/>
          <w:b/>
          <w:bCs/>
          <w:szCs w:val="21"/>
        </w:rPr>
        <w:t>项目基本情况</w:t>
      </w:r>
    </w:p>
    <w:p w14:paraId="2630AC38">
      <w:pPr>
        <w:spacing w:line="380" w:lineRule="exact"/>
        <w:rPr>
          <w:rFonts w:ascii="微软雅黑" w:hAnsi="微软雅黑" w:eastAsia="微软雅黑" w:cs="微软雅黑"/>
          <w:szCs w:val="21"/>
        </w:rPr>
      </w:pPr>
      <w:r>
        <w:rPr>
          <w:rFonts w:hint="eastAsia" w:ascii="微软雅黑" w:hAnsi="微软雅黑" w:eastAsia="微软雅黑" w:cs="微软雅黑"/>
          <w:szCs w:val="21"/>
        </w:rPr>
        <w:t>1 . 名称：终端安全和准入控制系统采购项目。</w:t>
      </w:r>
    </w:p>
    <w:p w14:paraId="35B7C390">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预算：19万元</w:t>
      </w:r>
    </w:p>
    <w:p w14:paraId="69AFDE58">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项目内部编号：DRY-CG-2025033</w:t>
      </w:r>
    </w:p>
    <w:p w14:paraId="50D4E77B">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采购方式：竞争性谈判</w:t>
      </w:r>
      <w:r>
        <w:rPr>
          <w:rFonts w:hint="eastAsia" w:ascii="微软雅黑" w:hAnsi="微软雅黑" w:eastAsia="微软雅黑" w:cs="微软雅黑"/>
          <w:szCs w:val="21"/>
        </w:rPr>
        <w:sym w:font="Wingdings 2" w:char="00A3"/>
      </w:r>
      <w:r>
        <w:rPr>
          <w:rFonts w:hint="eastAsia" w:ascii="微软雅黑" w:hAnsi="微软雅黑" w:eastAsia="微软雅黑" w:cs="微软雅黑"/>
          <w:szCs w:val="21"/>
        </w:rPr>
        <w:t xml:space="preserve"> 竞争性磋商</w:t>
      </w:r>
      <w:r>
        <w:rPr>
          <w:rFonts w:hint="eastAsia" w:ascii="微软雅黑" w:hAnsi="微软雅黑" w:eastAsia="微软雅黑" w:cs="微软雅黑"/>
          <w:szCs w:val="21"/>
        </w:rPr>
        <w:sym w:font="Wingdings 2" w:char="0052"/>
      </w:r>
      <w:r>
        <w:rPr>
          <w:rFonts w:hint="eastAsia" w:ascii="微软雅黑" w:hAnsi="微软雅黑" w:eastAsia="微软雅黑" w:cs="微软雅黑"/>
          <w:szCs w:val="21"/>
        </w:rPr>
        <w:t xml:space="preserve"> </w:t>
      </w:r>
    </w:p>
    <w:p w14:paraId="357912DA">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评审方法：最低价法</w:t>
      </w:r>
      <w:r>
        <w:rPr>
          <w:rFonts w:hint="eastAsia" w:ascii="微软雅黑" w:hAnsi="微软雅黑" w:eastAsia="微软雅黑" w:cs="微软雅黑"/>
          <w:szCs w:val="21"/>
        </w:rPr>
        <w:sym w:font="Wingdings 2" w:char="00A3"/>
      </w:r>
      <w:r>
        <w:rPr>
          <w:rFonts w:hint="eastAsia" w:ascii="微软雅黑" w:hAnsi="微软雅黑" w:eastAsia="微软雅黑" w:cs="微软雅黑"/>
          <w:szCs w:val="21"/>
        </w:rPr>
        <w:t xml:space="preserve">   综合评分法</w:t>
      </w:r>
      <w:r>
        <w:rPr>
          <w:rFonts w:hint="eastAsia" w:ascii="微软雅黑" w:hAnsi="微软雅黑" w:eastAsia="微软雅黑" w:cs="微软雅黑"/>
          <w:szCs w:val="21"/>
        </w:rPr>
        <w:sym w:font="Wingdings 2" w:char="0052"/>
      </w:r>
    </w:p>
    <w:p w14:paraId="3412F469">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本项目不得转包，不接受联合体投标，确定成交供应商数量：1 名。 </w:t>
      </w:r>
    </w:p>
    <w:p w14:paraId="61433729">
      <w:pPr>
        <w:numPr>
          <w:ilvl w:val="0"/>
          <w:numId w:val="3"/>
        </w:numPr>
        <w:spacing w:line="380" w:lineRule="exact"/>
        <w:rPr>
          <w:rFonts w:ascii="微软雅黑" w:hAnsi="微软雅黑" w:eastAsia="微软雅黑" w:cs="微软雅黑"/>
          <w:b/>
          <w:bCs/>
          <w:szCs w:val="21"/>
        </w:rPr>
      </w:pPr>
      <w:r>
        <w:rPr>
          <w:rFonts w:hint="eastAsia" w:ascii="微软雅黑" w:hAnsi="微软雅黑" w:eastAsia="微软雅黑" w:cs="微软雅黑"/>
          <w:b/>
          <w:bCs/>
          <w:szCs w:val="21"/>
        </w:rPr>
        <w:t xml:space="preserve">投标人资质要求 </w:t>
      </w:r>
    </w:p>
    <w:p w14:paraId="49A2180A">
      <w:pPr>
        <w:spacing w:line="380" w:lineRule="exact"/>
        <w:rPr>
          <w:rFonts w:ascii="微软雅黑" w:hAnsi="微软雅黑" w:eastAsia="微软雅黑" w:cs="微软雅黑"/>
          <w:szCs w:val="21"/>
        </w:rPr>
      </w:pPr>
      <w:r>
        <w:rPr>
          <w:rFonts w:hint="eastAsia" w:ascii="微软雅黑" w:hAnsi="微软雅黑" w:eastAsia="微软雅黑" w:cs="微软雅黑"/>
          <w:szCs w:val="21"/>
        </w:rPr>
        <w:t>1.投标人应具备《中华人民共和国政府采购法》第二十二条规定的条件，提供下列材料：</w:t>
      </w:r>
    </w:p>
    <w:p w14:paraId="17F01F68">
      <w:pPr>
        <w:spacing w:line="380" w:lineRule="exact"/>
        <w:rPr>
          <w:rFonts w:ascii="微软雅黑" w:hAnsi="微软雅黑" w:eastAsia="微软雅黑" w:cs="微软雅黑"/>
          <w:szCs w:val="21"/>
        </w:rPr>
      </w:pPr>
      <w:r>
        <w:rPr>
          <w:rFonts w:hint="eastAsia" w:ascii="微软雅黑" w:hAnsi="微软雅黑" w:eastAsia="微软雅黑" w:cs="微软雅黑"/>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67698622">
      <w:pPr>
        <w:spacing w:line="380" w:lineRule="exact"/>
        <w:rPr>
          <w:rFonts w:ascii="微软雅黑" w:hAnsi="微软雅黑" w:eastAsia="微软雅黑" w:cs="微软雅黑"/>
          <w:szCs w:val="21"/>
        </w:rPr>
      </w:pPr>
      <w:r>
        <w:rPr>
          <w:rFonts w:hint="eastAsia" w:ascii="微软雅黑" w:hAnsi="微软雅黑" w:eastAsia="微软雅黑" w:cs="微软雅黑"/>
          <w:szCs w:val="21"/>
        </w:rPr>
        <w:t>1.2有依法缴纳税收和社会保障资金的良好记录（提供资格承诺函）；</w:t>
      </w:r>
    </w:p>
    <w:p w14:paraId="22BBE429">
      <w:pPr>
        <w:spacing w:line="380" w:lineRule="exact"/>
        <w:rPr>
          <w:rFonts w:ascii="微软雅黑" w:hAnsi="微软雅黑" w:eastAsia="微软雅黑" w:cs="微软雅黑"/>
          <w:szCs w:val="21"/>
        </w:rPr>
      </w:pPr>
      <w:r>
        <w:rPr>
          <w:rFonts w:hint="eastAsia" w:ascii="微软雅黑" w:hAnsi="微软雅黑" w:eastAsia="微软雅黑" w:cs="微软雅黑"/>
          <w:szCs w:val="21"/>
        </w:rPr>
        <w:t>1.3具有良好的商业信誉和健全的财务会计制度（提供资格承诺函）；</w:t>
      </w:r>
    </w:p>
    <w:p w14:paraId="499616E3">
      <w:pPr>
        <w:spacing w:line="380" w:lineRule="exact"/>
        <w:rPr>
          <w:rFonts w:ascii="微软雅黑" w:hAnsi="微软雅黑" w:eastAsia="微软雅黑" w:cs="微软雅黑"/>
          <w:szCs w:val="21"/>
        </w:rPr>
      </w:pPr>
      <w:r>
        <w:rPr>
          <w:rFonts w:hint="eastAsia" w:ascii="微软雅黑" w:hAnsi="微软雅黑" w:eastAsia="微软雅黑" w:cs="微软雅黑"/>
          <w:szCs w:val="21"/>
        </w:rPr>
        <w:t>1.4履行合同所必需的设备和专业技术能力（提供资格承诺函）；</w:t>
      </w:r>
    </w:p>
    <w:p w14:paraId="7452C65B">
      <w:pPr>
        <w:spacing w:line="380" w:lineRule="exact"/>
        <w:rPr>
          <w:rFonts w:ascii="微软雅黑" w:hAnsi="微软雅黑" w:eastAsia="微软雅黑" w:cs="微软雅黑"/>
          <w:szCs w:val="21"/>
        </w:rPr>
      </w:pPr>
      <w:r>
        <w:rPr>
          <w:rFonts w:hint="eastAsia" w:ascii="微软雅黑" w:hAnsi="微软雅黑" w:eastAsia="微软雅黑" w:cs="微软雅黑"/>
          <w:szCs w:val="21"/>
        </w:rPr>
        <w:t>1.5参加本项目采购活动前三年内，在经营活动中没有重大违法记录（提供资格承诺函）；</w:t>
      </w:r>
    </w:p>
    <w:p w14:paraId="2405937F">
      <w:pPr>
        <w:spacing w:line="380" w:lineRule="exact"/>
        <w:rPr>
          <w:rFonts w:ascii="微软雅黑" w:hAnsi="微软雅黑" w:eastAsia="微软雅黑" w:cs="微软雅黑"/>
          <w:szCs w:val="21"/>
        </w:rPr>
      </w:pPr>
      <w:r>
        <w:rPr>
          <w:rFonts w:hint="eastAsia" w:ascii="微软雅黑" w:hAnsi="微软雅黑" w:eastAsia="微软雅黑" w:cs="微软雅黑"/>
          <w:szCs w:val="21"/>
        </w:rPr>
        <w:t>1.6</w:t>
      </w:r>
      <w:r>
        <w:rPr>
          <w:rFonts w:hint="eastAsia" w:ascii="微软雅黑" w:hAnsi="微软雅黑" w:eastAsia="微软雅黑" w:cs="微软雅黑"/>
          <w:szCs w:val="21"/>
          <w:highlight w:val="white"/>
        </w:rPr>
        <w:t>法律、行政法规规定的其他条件。</w:t>
      </w:r>
    </w:p>
    <w:p w14:paraId="6FF41D52">
      <w:pPr>
        <w:spacing w:line="380" w:lineRule="exact"/>
        <w:rPr>
          <w:rFonts w:ascii="微软雅黑" w:hAnsi="微软雅黑" w:eastAsia="微软雅黑" w:cs="微软雅黑"/>
          <w:szCs w:val="21"/>
          <w:highlight w:val="white"/>
        </w:rPr>
      </w:pPr>
      <w:r>
        <w:rPr>
          <w:rFonts w:hint="eastAsia" w:ascii="微软雅黑" w:hAnsi="微软雅黑" w:eastAsia="微软雅黑" w:cs="微软雅黑"/>
          <w:szCs w:val="21"/>
        </w:rPr>
        <w:t>1.7</w:t>
      </w:r>
      <w:r>
        <w:rPr>
          <w:rFonts w:hint="eastAsia" w:ascii="微软雅黑" w:hAnsi="微软雅黑" w:eastAsia="微软雅黑" w:cs="微软雅黑"/>
          <w:szCs w:val="21"/>
          <w:highlight w:val="white"/>
        </w:rPr>
        <w:t>本项目专门面向中小微企业采购，投标人应为中小微企（提供中小微企业申明函）；</w:t>
      </w:r>
    </w:p>
    <w:p w14:paraId="09532EF4">
      <w:pPr>
        <w:spacing w:line="380" w:lineRule="exact"/>
        <w:rPr>
          <w:rFonts w:ascii="微软雅黑" w:hAnsi="微软雅黑" w:eastAsia="微软雅黑" w:cs="微软雅黑"/>
          <w:szCs w:val="21"/>
        </w:rPr>
      </w:pPr>
      <w:r>
        <w:rPr>
          <w:rFonts w:hint="eastAsia" w:ascii="微软雅黑" w:hAnsi="微软雅黑" w:eastAsia="微软雅黑" w:cs="微软雅黑"/>
          <w:szCs w:val="21"/>
        </w:rPr>
        <w:t>1.8本项目特定资质要求（无）</w:t>
      </w:r>
    </w:p>
    <w:p w14:paraId="3B02FD44">
      <w:pPr>
        <w:numPr>
          <w:ilvl w:val="0"/>
          <w:numId w:val="3"/>
        </w:numPr>
        <w:spacing w:line="380" w:lineRule="exact"/>
        <w:rPr>
          <w:rFonts w:ascii="微软雅黑" w:hAnsi="微软雅黑" w:eastAsia="微软雅黑" w:cs="微软雅黑"/>
          <w:b/>
          <w:bCs/>
          <w:szCs w:val="21"/>
        </w:rPr>
      </w:pPr>
      <w:r>
        <w:rPr>
          <w:rFonts w:hint="eastAsia" w:ascii="微软雅黑" w:hAnsi="微软雅黑" w:eastAsia="微软雅黑" w:cs="微软雅黑"/>
          <w:b/>
          <w:bCs/>
          <w:szCs w:val="21"/>
        </w:rPr>
        <w:t>采购内容</w:t>
      </w:r>
    </w:p>
    <w:tbl>
      <w:tblPr>
        <w:tblStyle w:val="18"/>
        <w:tblW w:w="8850"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4401"/>
        <w:gridCol w:w="3075"/>
      </w:tblGrid>
      <w:tr w14:paraId="63F6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4" w:type="dxa"/>
          </w:tcPr>
          <w:p w14:paraId="1DFA8202">
            <w:pPr>
              <w:spacing w:line="360" w:lineRule="auto"/>
              <w:jc w:val="center"/>
              <w:rPr>
                <w:rFonts w:ascii="微软雅黑" w:hAnsi="微软雅黑" w:eastAsia="微软雅黑" w:cs="微软雅黑"/>
                <w:b/>
                <w:szCs w:val="22"/>
              </w:rPr>
            </w:pPr>
            <w:r>
              <w:rPr>
                <w:rFonts w:hint="eastAsia" w:ascii="微软雅黑" w:hAnsi="微软雅黑" w:eastAsia="微软雅黑" w:cs="微软雅黑"/>
                <w:b/>
                <w:szCs w:val="22"/>
              </w:rPr>
              <w:t>序号</w:t>
            </w:r>
          </w:p>
        </w:tc>
        <w:tc>
          <w:tcPr>
            <w:tcW w:w="4401" w:type="dxa"/>
          </w:tcPr>
          <w:p w14:paraId="79810ED6">
            <w:pPr>
              <w:spacing w:line="360" w:lineRule="auto"/>
              <w:ind w:firstLine="315" w:firstLineChars="150"/>
              <w:jc w:val="center"/>
              <w:rPr>
                <w:rFonts w:ascii="微软雅黑" w:hAnsi="微软雅黑" w:eastAsia="微软雅黑" w:cs="微软雅黑"/>
                <w:b/>
                <w:szCs w:val="22"/>
              </w:rPr>
            </w:pPr>
            <w:r>
              <w:rPr>
                <w:rFonts w:hint="eastAsia" w:ascii="微软雅黑" w:hAnsi="微软雅黑" w:eastAsia="微软雅黑" w:cs="微软雅黑"/>
                <w:b/>
                <w:szCs w:val="22"/>
              </w:rPr>
              <w:t>名称</w:t>
            </w:r>
          </w:p>
        </w:tc>
        <w:tc>
          <w:tcPr>
            <w:tcW w:w="3075" w:type="dxa"/>
          </w:tcPr>
          <w:p w14:paraId="7BE5A22A">
            <w:pPr>
              <w:spacing w:line="360" w:lineRule="auto"/>
              <w:ind w:firstLine="735" w:firstLineChars="350"/>
              <w:jc w:val="center"/>
              <w:rPr>
                <w:rFonts w:ascii="微软雅黑" w:hAnsi="微软雅黑" w:eastAsia="微软雅黑" w:cs="微软雅黑"/>
                <w:b/>
                <w:szCs w:val="22"/>
              </w:rPr>
            </w:pPr>
            <w:r>
              <w:rPr>
                <w:rFonts w:hint="eastAsia" w:ascii="微软雅黑" w:hAnsi="微软雅黑" w:eastAsia="微软雅黑" w:cs="微软雅黑"/>
                <w:b/>
                <w:szCs w:val="22"/>
              </w:rPr>
              <w:t>数量</w:t>
            </w:r>
          </w:p>
        </w:tc>
      </w:tr>
      <w:tr w14:paraId="48EE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4" w:type="dxa"/>
          </w:tcPr>
          <w:p w14:paraId="3CA53319">
            <w:pPr>
              <w:spacing w:line="360" w:lineRule="auto"/>
              <w:jc w:val="center"/>
              <w:rPr>
                <w:rFonts w:ascii="微软雅黑" w:hAnsi="微软雅黑" w:eastAsia="微软雅黑" w:cs="微软雅黑"/>
                <w:szCs w:val="22"/>
              </w:rPr>
            </w:pPr>
            <w:r>
              <w:rPr>
                <w:rFonts w:hint="eastAsia" w:ascii="微软雅黑" w:hAnsi="微软雅黑" w:eastAsia="微软雅黑" w:cs="微软雅黑"/>
                <w:szCs w:val="22"/>
              </w:rPr>
              <w:t>1</w:t>
            </w:r>
          </w:p>
        </w:tc>
        <w:tc>
          <w:tcPr>
            <w:tcW w:w="4401" w:type="dxa"/>
          </w:tcPr>
          <w:p w14:paraId="2AE6FC22">
            <w:pPr>
              <w:spacing w:line="360" w:lineRule="auto"/>
              <w:ind w:firstLine="420" w:firstLineChars="200"/>
              <w:rPr>
                <w:rFonts w:ascii="微软雅黑" w:hAnsi="微软雅黑" w:eastAsia="微软雅黑" w:cs="微软雅黑"/>
                <w:szCs w:val="22"/>
              </w:rPr>
            </w:pPr>
            <w:r>
              <w:rPr>
                <w:rFonts w:hint="eastAsia" w:ascii="微软雅黑" w:hAnsi="微软雅黑" w:eastAsia="微软雅黑" w:cs="微软雅黑"/>
                <w:szCs w:val="21"/>
              </w:rPr>
              <w:t>终端安全管理和准入控制系统</w:t>
            </w:r>
          </w:p>
        </w:tc>
        <w:tc>
          <w:tcPr>
            <w:tcW w:w="3075" w:type="dxa"/>
          </w:tcPr>
          <w:p w14:paraId="673B76C8">
            <w:pPr>
              <w:spacing w:line="360" w:lineRule="auto"/>
              <w:ind w:firstLine="735" w:firstLineChars="350"/>
              <w:rPr>
                <w:rFonts w:ascii="微软雅黑" w:hAnsi="微软雅黑" w:eastAsia="微软雅黑" w:cs="微软雅黑"/>
                <w:szCs w:val="22"/>
              </w:rPr>
            </w:pPr>
            <w:r>
              <w:rPr>
                <w:rFonts w:hint="eastAsia" w:ascii="微软雅黑" w:hAnsi="微软雅黑" w:eastAsia="微软雅黑" w:cs="微软雅黑"/>
                <w:szCs w:val="22"/>
              </w:rPr>
              <w:t>一套（含850点）</w:t>
            </w:r>
          </w:p>
        </w:tc>
      </w:tr>
    </w:tbl>
    <w:p w14:paraId="3CB1DA46">
      <w:pPr>
        <w:spacing w:line="380" w:lineRule="exact"/>
        <w:jc w:val="left"/>
        <w:outlineLvl w:val="0"/>
        <w:rPr>
          <w:rFonts w:ascii="微软雅黑" w:hAnsi="微软雅黑" w:eastAsia="微软雅黑" w:cs="微软雅黑"/>
          <w:b/>
          <w:bCs/>
          <w:szCs w:val="21"/>
        </w:rPr>
      </w:pPr>
      <w:r>
        <w:rPr>
          <w:rFonts w:hint="eastAsia" w:ascii="微软雅黑" w:hAnsi="微软雅黑" w:eastAsia="微软雅黑" w:cs="微软雅黑"/>
          <w:b/>
          <w:bCs/>
          <w:szCs w:val="21"/>
        </w:rPr>
        <w:t>四、技术要求</w:t>
      </w:r>
    </w:p>
    <w:p w14:paraId="105A46EF">
      <w:pPr>
        <w:spacing w:line="360" w:lineRule="auto"/>
        <w:rPr>
          <w:rFonts w:ascii="微软雅黑" w:hAnsi="微软雅黑" w:eastAsia="微软雅黑" w:cs="微软雅黑"/>
        </w:rPr>
      </w:pPr>
      <w:r>
        <w:rPr>
          <w:rFonts w:hint="eastAsia" w:ascii="微软雅黑" w:hAnsi="微软雅黑" w:eastAsia="微软雅黑" w:cs="微软雅黑"/>
        </w:rPr>
        <w:t>1.终端安全管理和准入控制系统参数要求</w:t>
      </w:r>
    </w:p>
    <w:tbl>
      <w:tblPr>
        <w:tblStyle w:val="18"/>
        <w:tblW w:w="9463" w:type="dxa"/>
        <w:tblInd w:w="0" w:type="dxa"/>
        <w:tblLayout w:type="fixed"/>
        <w:tblCellMar>
          <w:top w:w="0" w:type="dxa"/>
          <w:left w:w="108" w:type="dxa"/>
          <w:bottom w:w="0" w:type="dxa"/>
          <w:right w:w="108" w:type="dxa"/>
        </w:tblCellMar>
      </w:tblPr>
      <w:tblGrid>
        <w:gridCol w:w="736"/>
        <w:gridCol w:w="1527"/>
        <w:gridCol w:w="7200"/>
      </w:tblGrid>
      <w:tr w14:paraId="69445D19">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575B326">
            <w:pPr>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1527" w:type="dxa"/>
            <w:tcBorders>
              <w:top w:val="single" w:color="000000" w:sz="4" w:space="0"/>
              <w:left w:val="single" w:color="000000" w:sz="4" w:space="0"/>
              <w:bottom w:val="single" w:color="000000" w:sz="4" w:space="0"/>
              <w:right w:val="single" w:color="000000" w:sz="4" w:space="0"/>
            </w:tcBorders>
            <w:vAlign w:val="center"/>
          </w:tcPr>
          <w:p w14:paraId="16830760">
            <w:pPr>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模块</w:t>
            </w:r>
          </w:p>
        </w:tc>
        <w:tc>
          <w:tcPr>
            <w:tcW w:w="7200" w:type="dxa"/>
            <w:tcBorders>
              <w:top w:val="single" w:color="000000" w:sz="4" w:space="0"/>
              <w:left w:val="single" w:color="000000" w:sz="4" w:space="0"/>
              <w:bottom w:val="single" w:color="000000" w:sz="4" w:space="0"/>
              <w:right w:val="single" w:color="000000" w:sz="4" w:space="0"/>
            </w:tcBorders>
            <w:vAlign w:val="center"/>
          </w:tcPr>
          <w:p w14:paraId="52A8C0E5">
            <w:pPr>
              <w:textAlignment w:val="center"/>
              <w:rPr>
                <w:rFonts w:ascii="微软雅黑" w:hAnsi="微软雅黑" w:eastAsia="微软雅黑" w:cs="微软雅黑"/>
                <w:szCs w:val="21"/>
              </w:rPr>
            </w:pPr>
            <w:r>
              <w:rPr>
                <w:rFonts w:hint="eastAsia" w:ascii="微软雅黑" w:hAnsi="微软雅黑" w:eastAsia="微软雅黑" w:cs="微软雅黑"/>
                <w:szCs w:val="21"/>
              </w:rPr>
              <w:t>详细参数</w:t>
            </w:r>
          </w:p>
        </w:tc>
      </w:tr>
      <w:tr w14:paraId="6EB04697">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7018244">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527" w:type="dxa"/>
            <w:tcBorders>
              <w:top w:val="single" w:color="000000" w:sz="4" w:space="0"/>
              <w:left w:val="single" w:color="000000" w:sz="4" w:space="0"/>
              <w:bottom w:val="single" w:color="000000" w:sz="4" w:space="0"/>
              <w:right w:val="single" w:color="000000" w:sz="4" w:space="0"/>
            </w:tcBorders>
            <w:vAlign w:val="center"/>
          </w:tcPr>
          <w:p w14:paraId="025287FE">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终端准入控制系统</w:t>
            </w:r>
          </w:p>
        </w:tc>
        <w:tc>
          <w:tcPr>
            <w:tcW w:w="7200" w:type="dxa"/>
            <w:tcBorders>
              <w:top w:val="single" w:color="000000" w:sz="4" w:space="0"/>
              <w:left w:val="single" w:color="000000" w:sz="4" w:space="0"/>
              <w:bottom w:val="single" w:color="000000" w:sz="4" w:space="0"/>
              <w:right w:val="single" w:color="000000" w:sz="4" w:space="0"/>
            </w:tcBorders>
            <w:vAlign w:val="center"/>
          </w:tcPr>
          <w:p w14:paraId="3D793AE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系统具备丰富的终端安全管理功能，包括网络准入控制、日志审计、远程协助，移动存储管理、外设管理、系统盘还原保护、补丁管理、运维管理、水印管理等核心管理功能，终端支持PC端和安卓端的管理。</w:t>
            </w:r>
          </w:p>
        </w:tc>
      </w:tr>
      <w:tr w14:paraId="5B0BAB5C">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7F6DC62">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527" w:type="dxa"/>
            <w:tcBorders>
              <w:top w:val="single" w:color="000000" w:sz="4" w:space="0"/>
              <w:left w:val="single" w:color="000000" w:sz="4" w:space="0"/>
              <w:bottom w:val="single" w:color="000000" w:sz="4" w:space="0"/>
              <w:right w:val="single" w:color="000000" w:sz="4" w:space="0"/>
            </w:tcBorders>
            <w:vAlign w:val="center"/>
          </w:tcPr>
          <w:p w14:paraId="4396C3AB">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★终端管理构架</w:t>
            </w:r>
          </w:p>
        </w:tc>
        <w:tc>
          <w:tcPr>
            <w:tcW w:w="7200" w:type="dxa"/>
            <w:tcBorders>
              <w:top w:val="single" w:color="000000" w:sz="4" w:space="0"/>
              <w:left w:val="single" w:color="000000" w:sz="4" w:space="0"/>
              <w:bottom w:val="single" w:color="000000" w:sz="4" w:space="0"/>
              <w:right w:val="single" w:color="000000" w:sz="4" w:space="0"/>
            </w:tcBorders>
            <w:vAlign w:val="center"/>
          </w:tcPr>
          <w:p w14:paraId="7243037B">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对于Windows终端、安卓终端、信创终端管理在同一个管理平台下，为了保证日常对于终端运维的及时性，终端管理部分为C/S构架，控制台位EXE模式，管理员人员可以在控制台对于终端进行策略配置，远程运维。（须供截图证明）</w:t>
            </w:r>
          </w:p>
        </w:tc>
      </w:tr>
      <w:tr w14:paraId="2909A45B">
        <w:tblPrEx>
          <w:tblCellMar>
            <w:top w:w="0" w:type="dxa"/>
            <w:left w:w="108" w:type="dxa"/>
            <w:bottom w:w="0" w:type="dxa"/>
            <w:right w:w="108" w:type="dxa"/>
          </w:tblCellMar>
        </w:tblPrEx>
        <w:trPr>
          <w:trHeight w:val="819"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22661DB">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527" w:type="dxa"/>
            <w:tcBorders>
              <w:top w:val="single" w:color="000000" w:sz="4" w:space="0"/>
              <w:left w:val="single" w:color="000000" w:sz="4" w:space="0"/>
              <w:bottom w:val="single" w:color="000000" w:sz="4" w:space="0"/>
              <w:right w:val="single" w:color="000000" w:sz="4" w:space="0"/>
            </w:tcBorders>
            <w:vAlign w:val="center"/>
          </w:tcPr>
          <w:p w14:paraId="4487B15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准入技术</w:t>
            </w:r>
          </w:p>
        </w:tc>
        <w:tc>
          <w:tcPr>
            <w:tcW w:w="7200" w:type="dxa"/>
            <w:tcBorders>
              <w:top w:val="single" w:color="000000" w:sz="4" w:space="0"/>
              <w:left w:val="single" w:color="000000" w:sz="4" w:space="0"/>
              <w:bottom w:val="single" w:color="000000" w:sz="4" w:space="0"/>
              <w:right w:val="single" w:color="000000" w:sz="4" w:space="0"/>
            </w:tcBorders>
            <w:vAlign w:val="center"/>
          </w:tcPr>
          <w:p w14:paraId="3CA396E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1、支持高级别安全性的准入控制，如802.1X认证、DHCP认证等，并提供系统功能截图。</w:t>
            </w:r>
          </w:p>
          <w:p w14:paraId="6F4FCF64">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2、镜像准入：支持网络镜像准入，准入设备旁路接入在核心交换机，通过获取核心的网络镜像数据来控制网络设备的准入，并提供系统功能截图。</w:t>
            </w:r>
          </w:p>
          <w:p w14:paraId="275EF56A">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3、VLAN准入：系统支持vlan准入，可以快速识别接入层交换机的终端接入，终端接入时，不需要访问任何网络数据，系统可以在侦测并报警，可根据测率对其进行放行或者阻断，并提供系统功能截图。</w:t>
            </w:r>
          </w:p>
          <w:p w14:paraId="00DE5797">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4、提供Radius认证，支持无线控制器接入mac地址认证。</w:t>
            </w:r>
          </w:p>
          <w:p w14:paraId="19323C92">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5、提供DHCP服务器功能，支持分配地址IP-MAC静态绑定，并提供批量静态绑定功能。</w:t>
            </w:r>
          </w:p>
        </w:tc>
      </w:tr>
      <w:tr w14:paraId="6150E3DB">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15F9930">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527" w:type="dxa"/>
            <w:tcBorders>
              <w:top w:val="single" w:color="000000" w:sz="4" w:space="0"/>
              <w:left w:val="single" w:color="000000" w:sz="4" w:space="0"/>
              <w:bottom w:val="single" w:color="000000" w:sz="4" w:space="0"/>
              <w:right w:val="single" w:color="000000" w:sz="4" w:space="0"/>
            </w:tcBorders>
            <w:vAlign w:val="center"/>
          </w:tcPr>
          <w:p w14:paraId="7FF4FAAC">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准入认证模式</w:t>
            </w:r>
          </w:p>
        </w:tc>
        <w:tc>
          <w:tcPr>
            <w:tcW w:w="7200" w:type="dxa"/>
            <w:tcBorders>
              <w:top w:val="single" w:color="000000" w:sz="4" w:space="0"/>
              <w:left w:val="single" w:color="000000" w:sz="4" w:space="0"/>
              <w:bottom w:val="single" w:color="000000" w:sz="4" w:space="0"/>
              <w:right w:val="single" w:color="000000" w:sz="4" w:space="0"/>
            </w:tcBorders>
            <w:vAlign w:val="center"/>
          </w:tcPr>
          <w:p w14:paraId="214FBAE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1、客户端模式准入：终端需安装准入客户端并经合规检测后符合管理员指定的要求方可入网。</w:t>
            </w:r>
          </w:p>
          <w:p w14:paraId="259B965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2、无客户端模式准入：准入支持无客户端模式网络准入，精确识别所有网络设备并加以限制。</w:t>
            </w:r>
          </w:p>
        </w:tc>
      </w:tr>
      <w:tr w14:paraId="13771EE4">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F2A1901">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5</w:t>
            </w:r>
          </w:p>
        </w:tc>
        <w:tc>
          <w:tcPr>
            <w:tcW w:w="1527" w:type="dxa"/>
            <w:tcBorders>
              <w:top w:val="single" w:color="000000" w:sz="4" w:space="0"/>
              <w:left w:val="single" w:color="000000" w:sz="4" w:space="0"/>
              <w:bottom w:val="single" w:color="000000" w:sz="4" w:space="0"/>
              <w:right w:val="single" w:color="000000" w:sz="4" w:space="0"/>
            </w:tcBorders>
            <w:vAlign w:val="center"/>
          </w:tcPr>
          <w:p w14:paraId="0D031E99">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哑终端认证与防伪检查</w:t>
            </w:r>
          </w:p>
        </w:tc>
        <w:tc>
          <w:tcPr>
            <w:tcW w:w="7200" w:type="dxa"/>
            <w:tcBorders>
              <w:top w:val="single" w:color="000000" w:sz="4" w:space="0"/>
              <w:left w:val="single" w:color="000000" w:sz="4" w:space="0"/>
              <w:bottom w:val="single" w:color="000000" w:sz="4" w:space="0"/>
              <w:right w:val="single" w:color="000000" w:sz="4" w:space="0"/>
            </w:tcBorders>
            <w:vAlign w:val="center"/>
          </w:tcPr>
          <w:p w14:paraId="74096654">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1、系统支持对无线设备、自助机、信息屏等哑终端接入。</w:t>
            </w:r>
          </w:p>
          <w:p w14:paraId="40FBE12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2、系统能通过终端指纹识别技术鉴别非法哑终端并阻断其入网。</w:t>
            </w:r>
          </w:p>
          <w:p w14:paraId="212EF6B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哑终端认证需注册并经管理员审核后方可入网。</w:t>
            </w:r>
          </w:p>
        </w:tc>
      </w:tr>
      <w:tr w14:paraId="4A078C2C">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70A56C2">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6</w:t>
            </w:r>
          </w:p>
        </w:tc>
        <w:tc>
          <w:tcPr>
            <w:tcW w:w="1527" w:type="dxa"/>
            <w:tcBorders>
              <w:top w:val="single" w:color="000000" w:sz="4" w:space="0"/>
              <w:left w:val="single" w:color="000000" w:sz="4" w:space="0"/>
              <w:bottom w:val="single" w:color="000000" w:sz="4" w:space="0"/>
              <w:right w:val="single" w:color="000000" w:sz="4" w:space="0"/>
            </w:tcBorders>
            <w:vAlign w:val="center"/>
          </w:tcPr>
          <w:p w14:paraId="1AC9AFB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▲全网资产统计与展示</w:t>
            </w:r>
          </w:p>
        </w:tc>
        <w:tc>
          <w:tcPr>
            <w:tcW w:w="7200" w:type="dxa"/>
            <w:tcBorders>
              <w:top w:val="single" w:color="000000" w:sz="4" w:space="0"/>
              <w:left w:val="single" w:color="000000" w:sz="4" w:space="0"/>
              <w:bottom w:val="single" w:color="000000" w:sz="4" w:space="0"/>
              <w:right w:val="single" w:color="000000" w:sz="4" w:space="0"/>
            </w:tcBorders>
            <w:vAlign w:val="center"/>
          </w:tcPr>
          <w:p w14:paraId="658D19D5">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1、可以统计网络资产在线率和在线离线设备数量以及入网、阻断的设备数量和入网率。（须提供截图证明）</w:t>
            </w:r>
          </w:p>
          <w:p w14:paraId="21BDB7D0">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2、以饼状图形式展示设备在线率，以饼状图形式展示设备入网率。（须提供截图证明）</w:t>
            </w:r>
          </w:p>
          <w:p w14:paraId="4B64787C">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3、系统可以在全网资产功能节点界面展示出网络设备ip、设备类型、系统信息、准入状态、入网规则、设备在线时长、最后网络活动时间、设备位置、是否IP/MAC绑定、设备添加时间、资产识别时间，阻断原因、交换机刷新时间、交换机缓存MAC地址。支持自定义设备类型，操作系统、位置信息。（须提供截图证明）</w:t>
            </w:r>
          </w:p>
        </w:tc>
      </w:tr>
      <w:tr w14:paraId="5BC63D40">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E903ED">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7</w:t>
            </w:r>
          </w:p>
        </w:tc>
        <w:tc>
          <w:tcPr>
            <w:tcW w:w="1527" w:type="dxa"/>
            <w:tcBorders>
              <w:top w:val="single" w:color="000000" w:sz="4" w:space="0"/>
              <w:left w:val="single" w:color="000000" w:sz="4" w:space="0"/>
              <w:bottom w:val="single" w:color="000000" w:sz="4" w:space="0"/>
              <w:right w:val="single" w:color="000000" w:sz="4" w:space="0"/>
            </w:tcBorders>
            <w:vAlign w:val="center"/>
          </w:tcPr>
          <w:p w14:paraId="4A766D7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IP地址池</w:t>
            </w:r>
          </w:p>
        </w:tc>
        <w:tc>
          <w:tcPr>
            <w:tcW w:w="7200" w:type="dxa"/>
            <w:tcBorders>
              <w:top w:val="single" w:color="000000" w:sz="4" w:space="0"/>
              <w:left w:val="single" w:color="000000" w:sz="4" w:space="0"/>
              <w:bottom w:val="single" w:color="000000" w:sz="4" w:space="0"/>
              <w:right w:val="single" w:color="000000" w:sz="4" w:space="0"/>
            </w:tcBorders>
            <w:vAlign w:val="center"/>
          </w:tcPr>
          <w:p w14:paraId="761B85F5">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支持全网IP地址管理，以图形画形式展示每个网段内的IP使用情况并用不同设备图标展示占用IP的设备类型，包括：交换机、打印机、Windows/MacOS/信创/安卓/IOS系统设备、网桥、网关、存储、路由器、虚拟机、调制解调器、NAS、UNIX，鼠标挪动在相应IP上可展示当前IP的设备MAC地址信息、设备类型信息和操作系统信息。</w:t>
            </w:r>
          </w:p>
        </w:tc>
      </w:tr>
      <w:tr w14:paraId="2637BCBD">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D077B31">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8</w:t>
            </w:r>
          </w:p>
        </w:tc>
        <w:tc>
          <w:tcPr>
            <w:tcW w:w="1527" w:type="dxa"/>
            <w:tcBorders>
              <w:top w:val="single" w:color="000000" w:sz="4" w:space="0"/>
              <w:left w:val="single" w:color="000000" w:sz="4" w:space="0"/>
              <w:bottom w:val="single" w:color="000000" w:sz="4" w:space="0"/>
              <w:right w:val="single" w:color="000000" w:sz="4" w:space="0"/>
            </w:tcBorders>
            <w:vAlign w:val="center"/>
          </w:tcPr>
          <w:p w14:paraId="4D9E1D4B">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入网模式</w:t>
            </w:r>
          </w:p>
        </w:tc>
        <w:tc>
          <w:tcPr>
            <w:tcW w:w="7200" w:type="dxa"/>
            <w:tcBorders>
              <w:top w:val="single" w:color="000000" w:sz="4" w:space="0"/>
              <w:left w:val="single" w:color="000000" w:sz="4" w:space="0"/>
              <w:bottom w:val="single" w:color="000000" w:sz="4" w:space="0"/>
              <w:right w:val="single" w:color="000000" w:sz="4" w:space="0"/>
            </w:tcBorders>
            <w:vAlign w:val="center"/>
          </w:tcPr>
          <w:p w14:paraId="3B15D400">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系统支持自定义制作入网策略，通过阻断客户端入网、安全基线检测、客户端注册身份认证、入网审批等策略及流程达到合规入网。</w:t>
            </w:r>
          </w:p>
        </w:tc>
      </w:tr>
      <w:tr w14:paraId="287E1B53">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174D024">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9</w:t>
            </w:r>
          </w:p>
        </w:tc>
        <w:tc>
          <w:tcPr>
            <w:tcW w:w="1527" w:type="dxa"/>
            <w:tcBorders>
              <w:top w:val="single" w:color="000000" w:sz="4" w:space="0"/>
              <w:left w:val="single" w:color="000000" w:sz="4" w:space="0"/>
              <w:bottom w:val="single" w:color="000000" w:sz="4" w:space="0"/>
              <w:right w:val="single" w:color="000000" w:sz="4" w:space="0"/>
            </w:tcBorders>
            <w:vAlign w:val="center"/>
          </w:tcPr>
          <w:p w14:paraId="1E3607B7">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入网日志</w:t>
            </w:r>
          </w:p>
        </w:tc>
        <w:tc>
          <w:tcPr>
            <w:tcW w:w="7200" w:type="dxa"/>
            <w:tcBorders>
              <w:top w:val="single" w:color="000000" w:sz="4" w:space="0"/>
              <w:left w:val="single" w:color="000000" w:sz="4" w:space="0"/>
              <w:bottom w:val="single" w:color="000000" w:sz="4" w:space="0"/>
              <w:right w:val="single" w:color="000000" w:sz="4" w:space="0"/>
            </w:tcBorders>
            <w:vAlign w:val="center"/>
          </w:tcPr>
          <w:p w14:paraId="629D8340">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系统可记录设备入网时间以及设备入网时网络状态，可记录网络设备入网阻断及网络放行的原因。</w:t>
            </w:r>
          </w:p>
        </w:tc>
      </w:tr>
      <w:tr w14:paraId="7ACFF5B3">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8E1A937">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527" w:type="dxa"/>
            <w:tcBorders>
              <w:top w:val="single" w:color="000000" w:sz="4" w:space="0"/>
              <w:left w:val="single" w:color="000000" w:sz="4" w:space="0"/>
              <w:bottom w:val="single" w:color="000000" w:sz="4" w:space="0"/>
              <w:right w:val="single" w:color="000000" w:sz="4" w:space="0"/>
            </w:tcBorders>
            <w:vAlign w:val="center"/>
          </w:tcPr>
          <w:p w14:paraId="6265DBF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网络设备管理</w:t>
            </w:r>
          </w:p>
        </w:tc>
        <w:tc>
          <w:tcPr>
            <w:tcW w:w="7200" w:type="dxa"/>
            <w:tcBorders>
              <w:top w:val="single" w:color="000000" w:sz="4" w:space="0"/>
              <w:left w:val="single" w:color="000000" w:sz="4" w:space="0"/>
              <w:bottom w:val="single" w:color="000000" w:sz="4" w:space="0"/>
              <w:right w:val="single" w:color="000000" w:sz="4" w:space="0"/>
            </w:tcBorders>
            <w:vAlign w:val="center"/>
          </w:tcPr>
          <w:p w14:paraId="5681EA47">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可以添加网络交换机设备，显示交换机的在线情况，通过设置SNMP协议获取并以图像形式展示当前交换机的网口使用情况，如连接以及多连接情况以及交换机下所有网络设备真实的IP/Mac地址。可显示网络交换机的位置信息、产品型号、运行时间等。可详细记录交换机的端口信息、VLAN信息（包括VLAN名称）、IP地址表、路由表、转发表、ARP表信息。</w:t>
            </w:r>
          </w:p>
        </w:tc>
      </w:tr>
      <w:tr w14:paraId="1B2F339E">
        <w:tblPrEx>
          <w:tblCellMar>
            <w:top w:w="0" w:type="dxa"/>
            <w:left w:w="108" w:type="dxa"/>
            <w:bottom w:w="0" w:type="dxa"/>
            <w:right w:w="108" w:type="dxa"/>
          </w:tblCellMar>
        </w:tblPrEx>
        <w:trPr>
          <w:trHeight w:val="793"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22FBF80">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1527" w:type="dxa"/>
            <w:tcBorders>
              <w:top w:val="single" w:color="000000" w:sz="4" w:space="0"/>
              <w:left w:val="single" w:color="000000" w:sz="4" w:space="0"/>
              <w:bottom w:val="single" w:color="000000" w:sz="4" w:space="0"/>
              <w:right w:val="single" w:color="000000" w:sz="4" w:space="0"/>
            </w:tcBorders>
            <w:vAlign w:val="center"/>
          </w:tcPr>
          <w:p w14:paraId="02A55B9C">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安全态势</w:t>
            </w:r>
          </w:p>
        </w:tc>
        <w:tc>
          <w:tcPr>
            <w:tcW w:w="7200" w:type="dxa"/>
            <w:tcBorders>
              <w:top w:val="single" w:color="000000" w:sz="4" w:space="0"/>
              <w:left w:val="single" w:color="000000" w:sz="4" w:space="0"/>
              <w:bottom w:val="single" w:color="000000" w:sz="4" w:space="0"/>
              <w:right w:val="single" w:color="000000" w:sz="4" w:space="0"/>
            </w:tcBorders>
            <w:vAlign w:val="center"/>
          </w:tcPr>
          <w:p w14:paraId="31F73FA2">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对于未经授权的设备，准入系统可识别并报警。包括终端的IP地址变化、MAC地址变化、终端设备变化。</w:t>
            </w:r>
          </w:p>
        </w:tc>
      </w:tr>
      <w:tr w14:paraId="416D159B">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25CE403">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1527" w:type="dxa"/>
            <w:tcBorders>
              <w:top w:val="single" w:color="000000" w:sz="4" w:space="0"/>
              <w:left w:val="single" w:color="000000" w:sz="4" w:space="0"/>
              <w:bottom w:val="single" w:color="000000" w:sz="4" w:space="0"/>
              <w:right w:val="single" w:color="000000" w:sz="4" w:space="0"/>
            </w:tcBorders>
            <w:vAlign w:val="center"/>
          </w:tcPr>
          <w:p w14:paraId="35FA9F3A">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外联准入</w:t>
            </w:r>
          </w:p>
        </w:tc>
        <w:tc>
          <w:tcPr>
            <w:tcW w:w="7200" w:type="dxa"/>
            <w:tcBorders>
              <w:top w:val="single" w:color="000000" w:sz="4" w:space="0"/>
              <w:left w:val="single" w:color="000000" w:sz="4" w:space="0"/>
              <w:bottom w:val="single" w:color="000000" w:sz="4" w:space="0"/>
              <w:right w:val="single" w:color="000000" w:sz="4" w:space="0"/>
            </w:tcBorders>
            <w:vAlign w:val="center"/>
          </w:tcPr>
          <w:p w14:paraId="61019EA9">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提供外联准入功能，终端不需要安装客户端即可检测终端违规外联情况，可对该情况进行报警。系统可记录网络设备违规外联的时间，以及外联访问的域名信息。支持例外指定域名检测，包括外联设备的IP地址、MAC地址、设备类型、外联发生时间。</w:t>
            </w:r>
          </w:p>
        </w:tc>
      </w:tr>
      <w:tr w14:paraId="0BF575F1">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485F756">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13</w:t>
            </w:r>
          </w:p>
        </w:tc>
        <w:tc>
          <w:tcPr>
            <w:tcW w:w="1527" w:type="dxa"/>
            <w:tcBorders>
              <w:top w:val="single" w:color="000000" w:sz="4" w:space="0"/>
              <w:left w:val="single" w:color="000000" w:sz="4" w:space="0"/>
              <w:bottom w:val="single" w:color="000000" w:sz="4" w:space="0"/>
              <w:right w:val="single" w:color="000000" w:sz="4" w:space="0"/>
            </w:tcBorders>
            <w:vAlign w:val="center"/>
          </w:tcPr>
          <w:p w14:paraId="73A2CBE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阻断页面</w:t>
            </w:r>
          </w:p>
        </w:tc>
        <w:tc>
          <w:tcPr>
            <w:tcW w:w="7200" w:type="dxa"/>
            <w:tcBorders>
              <w:top w:val="single" w:color="000000" w:sz="4" w:space="0"/>
              <w:left w:val="single" w:color="000000" w:sz="4" w:space="0"/>
              <w:bottom w:val="single" w:color="000000" w:sz="4" w:space="0"/>
              <w:right w:val="single" w:color="000000" w:sz="4" w:space="0"/>
            </w:tcBorders>
            <w:vAlign w:val="center"/>
          </w:tcPr>
          <w:p w14:paraId="576D370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系统可灵活设置准入阻断页面以及页面内容，提供四种阻断页面设置类型，包括：仅提示阻断；提示阻断并提示下载客户端；阻断并提示账号登录；阻断并提示访客登录。</w:t>
            </w:r>
          </w:p>
        </w:tc>
      </w:tr>
      <w:tr w14:paraId="21829C53">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F3ADE0D">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14</w:t>
            </w:r>
          </w:p>
        </w:tc>
        <w:tc>
          <w:tcPr>
            <w:tcW w:w="1527" w:type="dxa"/>
            <w:tcBorders>
              <w:top w:val="single" w:color="000000" w:sz="4" w:space="0"/>
              <w:left w:val="single" w:color="000000" w:sz="4" w:space="0"/>
              <w:bottom w:val="single" w:color="000000" w:sz="4" w:space="0"/>
              <w:right w:val="single" w:color="000000" w:sz="4" w:space="0"/>
            </w:tcBorders>
            <w:vAlign w:val="center"/>
          </w:tcPr>
          <w:p w14:paraId="0FFA15D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终端软件安装</w:t>
            </w:r>
          </w:p>
        </w:tc>
        <w:tc>
          <w:tcPr>
            <w:tcW w:w="7200" w:type="dxa"/>
            <w:tcBorders>
              <w:top w:val="single" w:color="000000" w:sz="4" w:space="0"/>
              <w:left w:val="single" w:color="000000" w:sz="4" w:space="0"/>
              <w:bottom w:val="single" w:color="000000" w:sz="4" w:space="0"/>
              <w:right w:val="single" w:color="000000" w:sz="4" w:space="0"/>
            </w:tcBorders>
            <w:vAlign w:val="center"/>
          </w:tcPr>
          <w:p w14:paraId="0B98AD75">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提供软件下载中心，对系统检测不合规终端可按管理员要求进行软件安装。</w:t>
            </w:r>
          </w:p>
        </w:tc>
      </w:tr>
      <w:tr w14:paraId="121E7E0E">
        <w:tblPrEx>
          <w:tblCellMar>
            <w:top w:w="0" w:type="dxa"/>
            <w:left w:w="108" w:type="dxa"/>
            <w:bottom w:w="0" w:type="dxa"/>
            <w:right w:w="108" w:type="dxa"/>
          </w:tblCellMar>
        </w:tblPrEx>
        <w:trPr>
          <w:trHeight w:val="2897"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7B74B82">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15</w:t>
            </w:r>
          </w:p>
        </w:tc>
        <w:tc>
          <w:tcPr>
            <w:tcW w:w="1527" w:type="dxa"/>
            <w:tcBorders>
              <w:top w:val="single" w:color="000000" w:sz="4" w:space="0"/>
              <w:left w:val="single" w:color="000000" w:sz="4" w:space="0"/>
              <w:bottom w:val="single" w:color="000000" w:sz="4" w:space="0"/>
              <w:right w:val="single" w:color="000000" w:sz="4" w:space="0"/>
            </w:tcBorders>
            <w:vAlign w:val="center"/>
          </w:tcPr>
          <w:p w14:paraId="5738870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▲安全基线检查</w:t>
            </w:r>
          </w:p>
        </w:tc>
        <w:tc>
          <w:tcPr>
            <w:tcW w:w="7200" w:type="dxa"/>
            <w:tcBorders>
              <w:top w:val="single" w:color="000000" w:sz="4" w:space="0"/>
              <w:left w:val="single" w:color="000000" w:sz="4" w:space="0"/>
              <w:bottom w:val="single" w:color="000000" w:sz="4" w:space="0"/>
              <w:right w:val="single" w:color="000000" w:sz="4" w:space="0"/>
            </w:tcBorders>
            <w:vAlign w:val="center"/>
          </w:tcPr>
          <w:p w14:paraId="51224AF4">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终端安装准入客户端可进行安全基线检测，检测内容包括系统版本检测，防火墙开关检测、计算机名称前缀检测、域规则检测、IE代理检测、安装软件检测、运行程序检测、补丁检测、文件检测以及注册表信息检测。支持自定义检测内容。系统对终端检测后，验证合规，合规则入网，不合规禁止入网，检测不合规时即时阻断终端入网，并在管理端与终端同时弹窗提示详细违规信息，增加跳转网页链接，可下载管理员要求的合规项软件进行安装，终端完成管理员规定的合规要求并通过管理员进行身份确认后方可入网。（须提供截图证明）</w:t>
            </w:r>
          </w:p>
        </w:tc>
      </w:tr>
      <w:tr w14:paraId="6413FEEF">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A8D64C6">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16</w:t>
            </w:r>
          </w:p>
        </w:tc>
        <w:tc>
          <w:tcPr>
            <w:tcW w:w="1527" w:type="dxa"/>
            <w:tcBorders>
              <w:top w:val="single" w:color="000000" w:sz="4" w:space="0"/>
              <w:left w:val="single" w:color="000000" w:sz="4" w:space="0"/>
              <w:bottom w:val="single" w:color="000000" w:sz="4" w:space="0"/>
              <w:right w:val="single" w:color="000000" w:sz="4" w:space="0"/>
            </w:tcBorders>
            <w:vAlign w:val="center"/>
          </w:tcPr>
          <w:p w14:paraId="29F9B152">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访客申请认证</w:t>
            </w:r>
          </w:p>
        </w:tc>
        <w:tc>
          <w:tcPr>
            <w:tcW w:w="7200" w:type="dxa"/>
            <w:tcBorders>
              <w:top w:val="single" w:color="000000" w:sz="4" w:space="0"/>
              <w:left w:val="single" w:color="000000" w:sz="4" w:space="0"/>
              <w:bottom w:val="single" w:color="000000" w:sz="4" w:space="0"/>
              <w:right w:val="single" w:color="000000" w:sz="4" w:space="0"/>
            </w:tcBorders>
            <w:vAlign w:val="center"/>
          </w:tcPr>
          <w:p w14:paraId="2F68748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第三方外来接入设备可进行临时访客认证，管理员可根据申请信息进行临时放行终端入网。可自定义设置临时入网时间。</w:t>
            </w:r>
          </w:p>
        </w:tc>
      </w:tr>
      <w:tr w14:paraId="497099AB">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54EB211">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17</w:t>
            </w:r>
          </w:p>
        </w:tc>
        <w:tc>
          <w:tcPr>
            <w:tcW w:w="1527" w:type="dxa"/>
            <w:tcBorders>
              <w:top w:val="single" w:color="000000" w:sz="4" w:space="0"/>
              <w:left w:val="single" w:color="000000" w:sz="4" w:space="0"/>
              <w:bottom w:val="single" w:color="000000" w:sz="4" w:space="0"/>
              <w:right w:val="single" w:color="000000" w:sz="4" w:space="0"/>
            </w:tcBorders>
            <w:vAlign w:val="center"/>
          </w:tcPr>
          <w:p w14:paraId="15699D9B">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入网流程</w:t>
            </w:r>
          </w:p>
        </w:tc>
        <w:tc>
          <w:tcPr>
            <w:tcW w:w="7200" w:type="dxa"/>
            <w:tcBorders>
              <w:top w:val="single" w:color="000000" w:sz="4" w:space="0"/>
              <w:left w:val="single" w:color="000000" w:sz="4" w:space="0"/>
              <w:bottom w:val="single" w:color="000000" w:sz="4" w:space="0"/>
              <w:right w:val="single" w:color="000000" w:sz="4" w:space="0"/>
            </w:tcBorders>
            <w:vAlign w:val="center"/>
          </w:tcPr>
          <w:p w14:paraId="4696840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以图形化展示入网流程策略设置包括以下节点：1、阻断；2、安全基线检测；3、身份认证；4、入网审批；5、成功入网。其中安全基线检测和身份认证两个节点可以点击选择相关策略。身份认证和入网审批可以点击开启或关闭。</w:t>
            </w:r>
          </w:p>
        </w:tc>
      </w:tr>
      <w:tr w14:paraId="39733FAC">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E2E93C1">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18</w:t>
            </w:r>
          </w:p>
        </w:tc>
        <w:tc>
          <w:tcPr>
            <w:tcW w:w="1527" w:type="dxa"/>
            <w:tcBorders>
              <w:top w:val="single" w:color="000000" w:sz="4" w:space="0"/>
              <w:left w:val="single" w:color="000000" w:sz="4" w:space="0"/>
              <w:bottom w:val="single" w:color="000000" w:sz="4" w:space="0"/>
              <w:right w:val="single" w:color="000000" w:sz="4" w:space="0"/>
            </w:tcBorders>
            <w:vAlign w:val="center"/>
          </w:tcPr>
          <w:p w14:paraId="7386A8C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入网审批</w:t>
            </w:r>
          </w:p>
        </w:tc>
        <w:tc>
          <w:tcPr>
            <w:tcW w:w="7200" w:type="dxa"/>
            <w:tcBorders>
              <w:top w:val="single" w:color="000000" w:sz="4" w:space="0"/>
              <w:left w:val="single" w:color="000000" w:sz="4" w:space="0"/>
              <w:bottom w:val="single" w:color="000000" w:sz="4" w:space="0"/>
              <w:right w:val="single" w:color="000000" w:sz="4" w:space="0"/>
            </w:tcBorders>
            <w:vAlign w:val="center"/>
          </w:tcPr>
          <w:p w14:paraId="11950BB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系统可将终端身份注册信息以及安全基线检查结果反馈在入网审核界面。管理人员可根据这些信息来确认终端是否可以放行入网。</w:t>
            </w:r>
          </w:p>
        </w:tc>
      </w:tr>
      <w:tr w14:paraId="1B811A5D">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48BFE89">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19</w:t>
            </w:r>
          </w:p>
        </w:tc>
        <w:tc>
          <w:tcPr>
            <w:tcW w:w="1527" w:type="dxa"/>
            <w:tcBorders>
              <w:top w:val="single" w:color="000000" w:sz="4" w:space="0"/>
              <w:left w:val="single" w:color="000000" w:sz="4" w:space="0"/>
              <w:bottom w:val="single" w:color="000000" w:sz="4" w:space="0"/>
              <w:right w:val="single" w:color="000000" w:sz="4" w:space="0"/>
            </w:tcBorders>
            <w:vAlign w:val="center"/>
          </w:tcPr>
          <w:p w14:paraId="40F6D241">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组织结构</w:t>
            </w:r>
          </w:p>
        </w:tc>
        <w:tc>
          <w:tcPr>
            <w:tcW w:w="7200" w:type="dxa"/>
            <w:tcBorders>
              <w:top w:val="single" w:color="000000" w:sz="4" w:space="0"/>
              <w:left w:val="single" w:color="000000" w:sz="4" w:space="0"/>
              <w:bottom w:val="single" w:color="000000" w:sz="4" w:space="0"/>
              <w:right w:val="single" w:color="000000" w:sz="4" w:space="0"/>
            </w:tcBorders>
            <w:vAlign w:val="center"/>
          </w:tcPr>
          <w:p w14:paraId="14086614">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系统支持创建相应用户以及部门，可灵活设置每个功能的账号权限，方便限制子账号运维权限。</w:t>
            </w:r>
          </w:p>
        </w:tc>
      </w:tr>
      <w:tr w14:paraId="1091866F">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366E830">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20</w:t>
            </w:r>
          </w:p>
        </w:tc>
        <w:tc>
          <w:tcPr>
            <w:tcW w:w="1527" w:type="dxa"/>
            <w:tcBorders>
              <w:top w:val="single" w:color="000000" w:sz="4" w:space="0"/>
              <w:left w:val="single" w:color="000000" w:sz="4" w:space="0"/>
              <w:bottom w:val="single" w:color="000000" w:sz="4" w:space="0"/>
              <w:right w:val="single" w:color="000000" w:sz="4" w:space="0"/>
            </w:tcBorders>
            <w:vAlign w:val="center"/>
          </w:tcPr>
          <w:p w14:paraId="3472CA6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日志管理</w:t>
            </w:r>
          </w:p>
        </w:tc>
        <w:tc>
          <w:tcPr>
            <w:tcW w:w="7200" w:type="dxa"/>
            <w:tcBorders>
              <w:top w:val="single" w:color="000000" w:sz="4" w:space="0"/>
              <w:left w:val="single" w:color="000000" w:sz="4" w:space="0"/>
              <w:bottom w:val="single" w:color="000000" w:sz="4" w:space="0"/>
              <w:right w:val="single" w:color="000000" w:sz="4" w:space="0"/>
            </w:tcBorders>
            <w:vAlign w:val="center"/>
          </w:tcPr>
          <w:p w14:paraId="2F0F6A47">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系统可记录所有账号的登录和操作以及账号登录的IP地址、操作时间。</w:t>
            </w:r>
          </w:p>
        </w:tc>
      </w:tr>
      <w:tr w14:paraId="376F7E95">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E2CA31A">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21</w:t>
            </w:r>
          </w:p>
        </w:tc>
        <w:tc>
          <w:tcPr>
            <w:tcW w:w="1527" w:type="dxa"/>
            <w:tcBorders>
              <w:top w:val="single" w:color="000000" w:sz="4" w:space="0"/>
              <w:left w:val="single" w:color="000000" w:sz="4" w:space="0"/>
              <w:bottom w:val="single" w:color="000000" w:sz="4" w:space="0"/>
              <w:right w:val="single" w:color="000000" w:sz="4" w:space="0"/>
            </w:tcBorders>
            <w:vAlign w:val="center"/>
          </w:tcPr>
          <w:p w14:paraId="1847CA7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登录日志</w:t>
            </w:r>
          </w:p>
        </w:tc>
        <w:tc>
          <w:tcPr>
            <w:tcW w:w="7200" w:type="dxa"/>
            <w:tcBorders>
              <w:top w:val="single" w:color="000000" w:sz="4" w:space="0"/>
              <w:left w:val="single" w:color="000000" w:sz="4" w:space="0"/>
              <w:bottom w:val="single" w:color="000000" w:sz="4" w:space="0"/>
              <w:right w:val="single" w:color="000000" w:sz="4" w:space="0"/>
            </w:tcBorders>
            <w:vAlign w:val="center"/>
          </w:tcPr>
          <w:p w14:paraId="67DC45C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系统可记录终端游客账号以及认证账号的登录IP、设备类型、操作系统、Mac地址、登录时间、登录信息以及账号登录类型。</w:t>
            </w:r>
          </w:p>
        </w:tc>
      </w:tr>
      <w:tr w14:paraId="22F8208F">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D39436F">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22</w:t>
            </w:r>
          </w:p>
        </w:tc>
        <w:tc>
          <w:tcPr>
            <w:tcW w:w="1527" w:type="dxa"/>
            <w:tcBorders>
              <w:top w:val="single" w:color="000000" w:sz="4" w:space="0"/>
              <w:left w:val="single" w:color="000000" w:sz="4" w:space="0"/>
              <w:bottom w:val="single" w:color="000000" w:sz="4" w:space="0"/>
              <w:right w:val="single" w:color="000000" w:sz="4" w:space="0"/>
            </w:tcBorders>
            <w:vAlign w:val="center"/>
          </w:tcPr>
          <w:p w14:paraId="58F60D89">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系统信息</w:t>
            </w:r>
          </w:p>
        </w:tc>
        <w:tc>
          <w:tcPr>
            <w:tcW w:w="7200" w:type="dxa"/>
            <w:tcBorders>
              <w:top w:val="single" w:color="000000" w:sz="4" w:space="0"/>
              <w:left w:val="single" w:color="000000" w:sz="4" w:space="0"/>
              <w:bottom w:val="single" w:color="000000" w:sz="4" w:space="0"/>
              <w:right w:val="single" w:color="000000" w:sz="4" w:space="0"/>
            </w:tcBorders>
            <w:vAlign w:val="center"/>
          </w:tcPr>
          <w:p w14:paraId="4E1845C4">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管理端可以查看客户端的系统信息、IP地址、MAC地址、客户端版本号、CPU/内存/硬盘温度。</w:t>
            </w:r>
          </w:p>
        </w:tc>
      </w:tr>
      <w:tr w14:paraId="2139B921">
        <w:tblPrEx>
          <w:tblCellMar>
            <w:top w:w="0" w:type="dxa"/>
            <w:left w:w="108" w:type="dxa"/>
            <w:bottom w:w="0" w:type="dxa"/>
            <w:right w:w="108" w:type="dxa"/>
          </w:tblCellMar>
        </w:tblPrEx>
        <w:trPr>
          <w:trHeight w:val="96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3C31B2A">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23</w:t>
            </w:r>
          </w:p>
        </w:tc>
        <w:tc>
          <w:tcPr>
            <w:tcW w:w="1527" w:type="dxa"/>
            <w:tcBorders>
              <w:top w:val="single" w:color="000000" w:sz="4" w:space="0"/>
              <w:left w:val="single" w:color="000000" w:sz="4" w:space="0"/>
              <w:bottom w:val="single" w:color="000000" w:sz="4" w:space="0"/>
              <w:right w:val="single" w:color="000000" w:sz="4" w:space="0"/>
            </w:tcBorders>
            <w:vAlign w:val="center"/>
          </w:tcPr>
          <w:p w14:paraId="16B362AC">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▲远程屏幕协助</w:t>
            </w:r>
          </w:p>
        </w:tc>
        <w:tc>
          <w:tcPr>
            <w:tcW w:w="7200" w:type="dxa"/>
            <w:tcBorders>
              <w:top w:val="single" w:color="000000" w:sz="4" w:space="0"/>
              <w:left w:val="single" w:color="000000" w:sz="4" w:space="0"/>
              <w:bottom w:val="single" w:color="000000" w:sz="4" w:space="0"/>
              <w:right w:val="single" w:color="000000" w:sz="4" w:space="0"/>
            </w:tcBorders>
            <w:vAlign w:val="center"/>
          </w:tcPr>
          <w:p w14:paraId="22729736">
            <w:pPr>
              <w:pStyle w:val="9"/>
              <w:rPr>
                <w:rFonts w:ascii="微软雅黑" w:hAnsi="微软雅黑" w:eastAsia="微软雅黑" w:cs="微软雅黑"/>
                <w:bCs/>
                <w:sz w:val="21"/>
                <w:szCs w:val="21"/>
              </w:rPr>
            </w:pPr>
            <w:r>
              <w:rPr>
                <w:rFonts w:hint="eastAsia" w:ascii="微软雅黑" w:hAnsi="微软雅黑" w:eastAsia="微软雅黑" w:cs="微软雅黑"/>
                <w:bCs/>
                <w:sz w:val="21"/>
                <w:szCs w:val="21"/>
              </w:rPr>
              <w:t>管理员可以快速接对于终端进行远程控制；</w:t>
            </w:r>
          </w:p>
          <w:p w14:paraId="6264945F">
            <w:pPr>
              <w:pStyle w:val="9"/>
              <w:rPr>
                <w:rFonts w:ascii="微软雅黑" w:hAnsi="微软雅黑" w:eastAsia="微软雅黑" w:cs="微软雅黑"/>
                <w:bCs/>
                <w:sz w:val="21"/>
                <w:szCs w:val="21"/>
              </w:rPr>
            </w:pPr>
            <w:r>
              <w:rPr>
                <w:rFonts w:hint="eastAsia" w:ascii="微软雅黑" w:hAnsi="微软雅黑" w:eastAsia="微软雅黑" w:cs="微软雅黑"/>
                <w:bCs/>
                <w:sz w:val="21"/>
                <w:szCs w:val="21"/>
              </w:rPr>
              <w:t>当对终端计算机进行远程控制时，客户互传终端计算机中的文件；</w:t>
            </w:r>
          </w:p>
          <w:p w14:paraId="44334A5C">
            <w:pPr>
              <w:pStyle w:val="9"/>
              <w:rPr>
                <w:rFonts w:ascii="微软雅黑" w:hAnsi="微软雅黑" w:eastAsia="微软雅黑" w:cs="微软雅黑"/>
                <w:bCs/>
                <w:sz w:val="21"/>
                <w:szCs w:val="21"/>
              </w:rPr>
            </w:pPr>
            <w:r>
              <w:rPr>
                <w:rFonts w:hint="eastAsia" w:ascii="微软雅黑" w:hAnsi="微软雅黑" w:eastAsia="微软雅黑" w:cs="微软雅黑"/>
                <w:bCs/>
                <w:sz w:val="21"/>
                <w:szCs w:val="21"/>
              </w:rPr>
              <w:t>针对终端为双屏的电脑，管理员可以点击主/副屏切换进行控制；</w:t>
            </w:r>
          </w:p>
          <w:p w14:paraId="2C98646F">
            <w:pPr>
              <w:pStyle w:val="9"/>
              <w:rPr>
                <w:rFonts w:ascii="微软雅黑" w:hAnsi="微软雅黑" w:eastAsia="微软雅黑" w:cs="微软雅黑"/>
                <w:bCs/>
                <w:sz w:val="21"/>
                <w:szCs w:val="21"/>
              </w:rPr>
            </w:pPr>
            <w:r>
              <w:rPr>
                <w:rFonts w:hint="eastAsia" w:ascii="微软雅黑" w:hAnsi="微软雅黑" w:eastAsia="微软雅黑" w:cs="微软雅黑"/>
                <w:bCs/>
                <w:sz w:val="21"/>
                <w:szCs w:val="21"/>
              </w:rPr>
              <w:t>管理员可以将本地文件拖拽到远程协助对话框时间文件传输；</w:t>
            </w:r>
          </w:p>
          <w:p w14:paraId="2F843BB0">
            <w:pPr>
              <w:pStyle w:val="9"/>
              <w:rPr>
                <w:rFonts w:ascii="微软雅黑" w:hAnsi="微软雅黑" w:eastAsia="微软雅黑" w:cs="微软雅黑"/>
                <w:sz w:val="21"/>
                <w:szCs w:val="21"/>
              </w:rPr>
            </w:pPr>
            <w:r>
              <w:rPr>
                <w:rFonts w:hint="eastAsia" w:ascii="微软雅黑" w:hAnsi="微软雅黑" w:eastAsia="微软雅黑" w:cs="微软雅黑"/>
                <w:bCs/>
                <w:sz w:val="21"/>
                <w:szCs w:val="21"/>
              </w:rPr>
              <w:t>可以使用自带得电子白板功能，在远程得时候在用户的屏幕上层做画线、输入文字等操作。</w:t>
            </w:r>
          </w:p>
          <w:p w14:paraId="41E6280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（须提供截图证明）</w:t>
            </w:r>
          </w:p>
        </w:tc>
      </w:tr>
      <w:tr w14:paraId="4A2CD2FF">
        <w:tblPrEx>
          <w:tblCellMar>
            <w:top w:w="0" w:type="dxa"/>
            <w:left w:w="108" w:type="dxa"/>
            <w:bottom w:w="0" w:type="dxa"/>
            <w:right w:w="108" w:type="dxa"/>
          </w:tblCellMar>
        </w:tblPrEx>
        <w:trPr>
          <w:trHeight w:val="96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E0BCB58">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24</w:t>
            </w:r>
          </w:p>
        </w:tc>
        <w:tc>
          <w:tcPr>
            <w:tcW w:w="1527" w:type="dxa"/>
            <w:tcBorders>
              <w:top w:val="single" w:color="000000" w:sz="4" w:space="0"/>
              <w:left w:val="single" w:color="000000" w:sz="4" w:space="0"/>
              <w:bottom w:val="single" w:color="000000" w:sz="4" w:space="0"/>
              <w:right w:val="single" w:color="000000" w:sz="4" w:space="0"/>
            </w:tcBorders>
            <w:vAlign w:val="center"/>
          </w:tcPr>
          <w:p w14:paraId="5777A315">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★远程协助安卓设备</w:t>
            </w:r>
          </w:p>
        </w:tc>
        <w:tc>
          <w:tcPr>
            <w:tcW w:w="7200" w:type="dxa"/>
            <w:tcBorders>
              <w:top w:val="single" w:color="000000" w:sz="4" w:space="0"/>
              <w:left w:val="single" w:color="000000" w:sz="4" w:space="0"/>
              <w:bottom w:val="single" w:color="000000" w:sz="4" w:space="0"/>
              <w:right w:val="single" w:color="000000" w:sz="4" w:space="0"/>
            </w:tcBorders>
            <w:vAlign w:val="center"/>
          </w:tcPr>
          <w:p w14:paraId="1E94B73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管理员可以对于医院的安卓系统的PDA和诊间屏进行远程屏幕控制，管理员可以在一秒内接管移动设备的屏幕，控制速度快，无卡顿；在远程协助时候，可以开启文件互传功能，实现管理员Windows电脑和安卓终端的文件互传。（须提供截图证明）</w:t>
            </w:r>
          </w:p>
        </w:tc>
      </w:tr>
      <w:tr w14:paraId="2B315D8B">
        <w:tblPrEx>
          <w:tblCellMar>
            <w:top w:w="0" w:type="dxa"/>
            <w:left w:w="108" w:type="dxa"/>
            <w:bottom w:w="0" w:type="dxa"/>
            <w:right w:w="108" w:type="dxa"/>
          </w:tblCellMar>
        </w:tblPrEx>
        <w:trPr>
          <w:trHeight w:val="96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8E4BA44">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25</w:t>
            </w:r>
          </w:p>
        </w:tc>
        <w:tc>
          <w:tcPr>
            <w:tcW w:w="1527" w:type="dxa"/>
            <w:tcBorders>
              <w:top w:val="single" w:color="000000" w:sz="4" w:space="0"/>
              <w:left w:val="single" w:color="000000" w:sz="4" w:space="0"/>
              <w:bottom w:val="single" w:color="000000" w:sz="4" w:space="0"/>
              <w:right w:val="single" w:color="000000" w:sz="4" w:space="0"/>
            </w:tcBorders>
            <w:vAlign w:val="center"/>
          </w:tcPr>
          <w:p w14:paraId="7AEB7BC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▲安卓端安全桌面</w:t>
            </w:r>
          </w:p>
        </w:tc>
        <w:tc>
          <w:tcPr>
            <w:tcW w:w="7200" w:type="dxa"/>
            <w:tcBorders>
              <w:top w:val="single" w:color="000000" w:sz="4" w:space="0"/>
              <w:left w:val="single" w:color="000000" w:sz="4" w:space="0"/>
              <w:bottom w:val="single" w:color="000000" w:sz="4" w:space="0"/>
              <w:right w:val="single" w:color="000000" w:sz="4" w:space="0"/>
            </w:tcBorders>
            <w:vAlign w:val="center"/>
          </w:tcPr>
          <w:p w14:paraId="6ED78147">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终端启动后自动进入安全桌面，在安全桌面上展示日期、时间、IP地址、MAC地址、通知通告信息、设备备注信息，及具备刷新按钮功能。在远程的时候可以进行文件互传，实现办管理员WINDOWS电脑的文件与安卓终端的文件进行互相传输。（须提供截图证明）</w:t>
            </w:r>
          </w:p>
        </w:tc>
      </w:tr>
      <w:tr w14:paraId="275B0E8E">
        <w:tblPrEx>
          <w:tblCellMar>
            <w:top w:w="0" w:type="dxa"/>
            <w:left w:w="108" w:type="dxa"/>
            <w:bottom w:w="0" w:type="dxa"/>
            <w:right w:w="108" w:type="dxa"/>
          </w:tblCellMar>
        </w:tblPrEx>
        <w:trPr>
          <w:trHeight w:val="65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8F72348">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26</w:t>
            </w:r>
          </w:p>
        </w:tc>
        <w:tc>
          <w:tcPr>
            <w:tcW w:w="1527" w:type="dxa"/>
            <w:tcBorders>
              <w:top w:val="single" w:color="000000" w:sz="4" w:space="0"/>
              <w:left w:val="single" w:color="000000" w:sz="4" w:space="0"/>
              <w:bottom w:val="single" w:color="000000" w:sz="4" w:space="0"/>
              <w:right w:val="single" w:color="000000" w:sz="4" w:space="0"/>
            </w:tcBorders>
            <w:vAlign w:val="center"/>
          </w:tcPr>
          <w:p w14:paraId="3A6AD7F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▲安卓端APP白名单</w:t>
            </w:r>
          </w:p>
        </w:tc>
        <w:tc>
          <w:tcPr>
            <w:tcW w:w="7200" w:type="dxa"/>
            <w:tcBorders>
              <w:top w:val="single" w:color="000000" w:sz="4" w:space="0"/>
              <w:left w:val="single" w:color="000000" w:sz="4" w:space="0"/>
              <w:bottom w:val="single" w:color="000000" w:sz="4" w:space="0"/>
              <w:right w:val="single" w:color="000000" w:sz="4" w:space="0"/>
            </w:tcBorders>
            <w:vAlign w:val="center"/>
          </w:tcPr>
          <w:p w14:paraId="7CF53CE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安全桌面只展示白名单中的APP，不能展示非管理员允许的APP。（须提供截图证明）</w:t>
            </w:r>
          </w:p>
        </w:tc>
      </w:tr>
      <w:tr w14:paraId="722912B7">
        <w:tblPrEx>
          <w:tblCellMar>
            <w:top w:w="0" w:type="dxa"/>
            <w:left w:w="108" w:type="dxa"/>
            <w:bottom w:w="0" w:type="dxa"/>
            <w:right w:w="108" w:type="dxa"/>
          </w:tblCellMar>
        </w:tblPrEx>
        <w:trPr>
          <w:trHeight w:val="96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C248816">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27</w:t>
            </w:r>
          </w:p>
        </w:tc>
        <w:tc>
          <w:tcPr>
            <w:tcW w:w="1527" w:type="dxa"/>
            <w:tcBorders>
              <w:top w:val="single" w:color="000000" w:sz="4" w:space="0"/>
              <w:left w:val="single" w:color="000000" w:sz="4" w:space="0"/>
              <w:bottom w:val="single" w:color="000000" w:sz="4" w:space="0"/>
              <w:right w:val="single" w:color="000000" w:sz="4" w:space="0"/>
            </w:tcBorders>
            <w:vAlign w:val="center"/>
          </w:tcPr>
          <w:p w14:paraId="391E797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▲安卓应用商店</w:t>
            </w:r>
          </w:p>
        </w:tc>
        <w:tc>
          <w:tcPr>
            <w:tcW w:w="7200" w:type="dxa"/>
            <w:tcBorders>
              <w:top w:val="single" w:color="000000" w:sz="4" w:space="0"/>
              <w:left w:val="single" w:color="000000" w:sz="4" w:space="0"/>
              <w:bottom w:val="single" w:color="000000" w:sz="4" w:space="0"/>
              <w:right w:val="single" w:color="000000" w:sz="4" w:space="0"/>
            </w:tcBorders>
            <w:vAlign w:val="center"/>
          </w:tcPr>
          <w:p w14:paraId="72CA2B3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管理员可以讲APP上传到应用商店中，终端用户可以在应用商店中找到相应的APP进行下载安装。（须提供截图证明）</w:t>
            </w:r>
          </w:p>
        </w:tc>
      </w:tr>
      <w:tr w14:paraId="76D25800">
        <w:tblPrEx>
          <w:tblCellMar>
            <w:top w:w="0" w:type="dxa"/>
            <w:left w:w="108" w:type="dxa"/>
            <w:bottom w:w="0" w:type="dxa"/>
            <w:right w:w="108" w:type="dxa"/>
          </w:tblCellMar>
        </w:tblPrEx>
        <w:trPr>
          <w:trHeight w:val="96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7288E36">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28</w:t>
            </w:r>
          </w:p>
        </w:tc>
        <w:tc>
          <w:tcPr>
            <w:tcW w:w="1527" w:type="dxa"/>
            <w:tcBorders>
              <w:top w:val="single" w:color="000000" w:sz="4" w:space="0"/>
              <w:left w:val="single" w:color="000000" w:sz="4" w:space="0"/>
              <w:bottom w:val="single" w:color="000000" w:sz="4" w:space="0"/>
              <w:right w:val="single" w:color="000000" w:sz="4" w:space="0"/>
            </w:tcBorders>
            <w:vAlign w:val="center"/>
          </w:tcPr>
          <w:p w14:paraId="32D245C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▲安卓端WIFI</w:t>
            </w:r>
          </w:p>
        </w:tc>
        <w:tc>
          <w:tcPr>
            <w:tcW w:w="7200" w:type="dxa"/>
            <w:tcBorders>
              <w:top w:val="single" w:color="000000" w:sz="4" w:space="0"/>
              <w:left w:val="single" w:color="000000" w:sz="4" w:space="0"/>
              <w:bottom w:val="single" w:color="000000" w:sz="4" w:space="0"/>
              <w:right w:val="single" w:color="000000" w:sz="4" w:space="0"/>
            </w:tcBorders>
            <w:vAlign w:val="center"/>
          </w:tcPr>
          <w:p w14:paraId="28C52D27">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系统具备WIFI白名单功能，安卓终端只能连接指定的WIFI名称。（须提供截图证明）</w:t>
            </w:r>
          </w:p>
        </w:tc>
      </w:tr>
      <w:tr w14:paraId="0C8DAFE5">
        <w:tblPrEx>
          <w:tblCellMar>
            <w:top w:w="0" w:type="dxa"/>
            <w:left w:w="108" w:type="dxa"/>
            <w:bottom w:w="0" w:type="dxa"/>
            <w:right w:w="108" w:type="dxa"/>
          </w:tblCellMar>
        </w:tblPrEx>
        <w:trPr>
          <w:trHeight w:val="73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FE57D85">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29</w:t>
            </w:r>
          </w:p>
        </w:tc>
        <w:tc>
          <w:tcPr>
            <w:tcW w:w="1527" w:type="dxa"/>
            <w:tcBorders>
              <w:top w:val="single" w:color="000000" w:sz="4" w:space="0"/>
              <w:left w:val="single" w:color="000000" w:sz="4" w:space="0"/>
              <w:bottom w:val="single" w:color="000000" w:sz="4" w:space="0"/>
              <w:right w:val="single" w:color="000000" w:sz="4" w:space="0"/>
            </w:tcBorders>
            <w:vAlign w:val="center"/>
          </w:tcPr>
          <w:p w14:paraId="7407D821">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▲安卓端时间同步</w:t>
            </w:r>
          </w:p>
        </w:tc>
        <w:tc>
          <w:tcPr>
            <w:tcW w:w="7200" w:type="dxa"/>
            <w:tcBorders>
              <w:top w:val="single" w:color="000000" w:sz="4" w:space="0"/>
              <w:left w:val="single" w:color="000000" w:sz="4" w:space="0"/>
              <w:bottom w:val="single" w:color="000000" w:sz="4" w:space="0"/>
              <w:right w:val="single" w:color="000000" w:sz="4" w:space="0"/>
            </w:tcBorders>
            <w:vAlign w:val="center"/>
          </w:tcPr>
          <w:p w14:paraId="31EB67A5">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安卓终端能够和服务器进行时间同步。（须提供截图证明）</w:t>
            </w:r>
          </w:p>
        </w:tc>
      </w:tr>
      <w:tr w14:paraId="22D43A85">
        <w:tblPrEx>
          <w:tblCellMar>
            <w:top w:w="0" w:type="dxa"/>
            <w:left w:w="108" w:type="dxa"/>
            <w:bottom w:w="0" w:type="dxa"/>
            <w:right w:w="108" w:type="dxa"/>
          </w:tblCellMar>
        </w:tblPrEx>
        <w:trPr>
          <w:trHeight w:val="96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3978AB0">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30</w:t>
            </w:r>
          </w:p>
        </w:tc>
        <w:tc>
          <w:tcPr>
            <w:tcW w:w="1527" w:type="dxa"/>
            <w:tcBorders>
              <w:top w:val="single" w:color="000000" w:sz="4" w:space="0"/>
              <w:left w:val="single" w:color="000000" w:sz="4" w:space="0"/>
              <w:bottom w:val="single" w:color="000000" w:sz="4" w:space="0"/>
              <w:right w:val="single" w:color="000000" w:sz="4" w:space="0"/>
            </w:tcBorders>
            <w:vAlign w:val="center"/>
          </w:tcPr>
          <w:p w14:paraId="75983AD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▲桌面助手</w:t>
            </w:r>
          </w:p>
        </w:tc>
        <w:tc>
          <w:tcPr>
            <w:tcW w:w="7200" w:type="dxa"/>
            <w:tcBorders>
              <w:top w:val="single" w:color="000000" w:sz="4" w:space="0"/>
              <w:left w:val="single" w:color="000000" w:sz="4" w:space="0"/>
              <w:bottom w:val="single" w:color="000000" w:sz="4" w:space="0"/>
              <w:right w:val="single" w:color="000000" w:sz="4" w:space="0"/>
            </w:tcBorders>
            <w:vAlign w:val="center"/>
          </w:tcPr>
          <w:p w14:paraId="58B74DA4">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管理端开启桌面助手策略，终端计算机桌面底层一直展示半透明窗口，管理端可以配置窗口上多个快捷方式网址，可以选择打开的浏览器，用户点击每个快捷方式会打开相应系统；桌面助手自带截屏工具，用户可以进行截屏、录制5秒、10秒、20秒屏幕，生成视频；管理端可以以九宫格的形式设置桌面助手的固定展示位置。（须提供截图证明）</w:t>
            </w:r>
          </w:p>
        </w:tc>
      </w:tr>
      <w:tr w14:paraId="5ACCE1E2">
        <w:tblPrEx>
          <w:tblCellMar>
            <w:top w:w="0" w:type="dxa"/>
            <w:left w:w="108" w:type="dxa"/>
            <w:bottom w:w="0" w:type="dxa"/>
            <w:right w:w="108" w:type="dxa"/>
          </w:tblCellMar>
        </w:tblPrEx>
        <w:trPr>
          <w:trHeight w:val="96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1B6C415">
            <w:pPr>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31</w:t>
            </w:r>
          </w:p>
        </w:tc>
        <w:tc>
          <w:tcPr>
            <w:tcW w:w="1527" w:type="dxa"/>
            <w:tcBorders>
              <w:top w:val="single" w:color="000000" w:sz="4" w:space="0"/>
              <w:left w:val="single" w:color="000000" w:sz="4" w:space="0"/>
              <w:bottom w:val="single" w:color="000000" w:sz="4" w:space="0"/>
              <w:right w:val="single" w:color="000000" w:sz="4" w:space="0"/>
            </w:tcBorders>
            <w:vAlign w:val="center"/>
          </w:tcPr>
          <w:p w14:paraId="36597AB6">
            <w:pPr>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水印管理</w:t>
            </w:r>
          </w:p>
        </w:tc>
        <w:tc>
          <w:tcPr>
            <w:tcW w:w="7200" w:type="dxa"/>
            <w:tcBorders>
              <w:top w:val="single" w:color="000000" w:sz="4" w:space="0"/>
              <w:left w:val="single" w:color="000000" w:sz="4" w:space="0"/>
              <w:bottom w:val="single" w:color="000000" w:sz="4" w:space="0"/>
              <w:right w:val="single" w:color="000000" w:sz="4" w:space="0"/>
            </w:tcBorders>
            <w:vAlign w:val="center"/>
          </w:tcPr>
          <w:p w14:paraId="55BC04BF">
            <w:pPr>
              <w:textAlignment w:val="center"/>
              <w:rPr>
                <w:rFonts w:ascii="微软雅黑" w:hAnsi="微软雅黑" w:eastAsia="微软雅黑" w:cs="微软雅黑"/>
                <w:szCs w:val="21"/>
              </w:rPr>
            </w:pPr>
            <w:r>
              <w:rPr>
                <w:rFonts w:hint="eastAsia" w:ascii="微软雅黑" w:hAnsi="微软雅黑" w:eastAsia="微软雅黑" w:cs="微软雅黑"/>
                <w:szCs w:val="21"/>
              </w:rPr>
              <w:t>支持屏幕水印，全屏展示机器名、IP、MAC、日期；支持打印水印功能，可以在打印出来的纸张上显示机器MAC、日期以及自定义文本内容；可设置水印文字的字体、文字大小、文字倾斜角度、例外打印机名称，并且可设置单行水印的水平垂直坐标及水印平铺的水平垂直间隔。</w:t>
            </w:r>
          </w:p>
        </w:tc>
      </w:tr>
      <w:tr w14:paraId="6270085D">
        <w:tblPrEx>
          <w:tblCellMar>
            <w:top w:w="0" w:type="dxa"/>
            <w:left w:w="108" w:type="dxa"/>
            <w:bottom w:w="0" w:type="dxa"/>
            <w:right w:w="108" w:type="dxa"/>
          </w:tblCellMar>
        </w:tblPrEx>
        <w:trPr>
          <w:trHeight w:val="7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96B17E2">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32</w:t>
            </w:r>
          </w:p>
        </w:tc>
        <w:tc>
          <w:tcPr>
            <w:tcW w:w="1527" w:type="dxa"/>
            <w:tcBorders>
              <w:top w:val="single" w:color="000000" w:sz="4" w:space="0"/>
              <w:left w:val="single" w:color="000000" w:sz="4" w:space="0"/>
              <w:bottom w:val="single" w:color="000000" w:sz="4" w:space="0"/>
              <w:right w:val="single" w:color="000000" w:sz="4" w:space="0"/>
            </w:tcBorders>
            <w:vAlign w:val="center"/>
          </w:tcPr>
          <w:p w14:paraId="7F4B0BF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桌面IP展示</w:t>
            </w:r>
          </w:p>
        </w:tc>
        <w:tc>
          <w:tcPr>
            <w:tcW w:w="7200" w:type="dxa"/>
            <w:tcBorders>
              <w:top w:val="single" w:color="000000" w:sz="4" w:space="0"/>
              <w:left w:val="single" w:color="000000" w:sz="4" w:space="0"/>
              <w:bottom w:val="single" w:color="000000" w:sz="4" w:space="0"/>
              <w:right w:val="single" w:color="000000" w:sz="4" w:space="0"/>
            </w:tcBorders>
            <w:vAlign w:val="center"/>
          </w:tcPr>
          <w:p w14:paraId="2EF5E0A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支持桌面展示机器名称、IP、MAC、日期、工作组以及自定义内容。显示的文字字体、大小、颜色均可设置，管理员可以通过九宫格的方式设置显示位置。</w:t>
            </w:r>
          </w:p>
        </w:tc>
      </w:tr>
      <w:tr w14:paraId="09A6F4DF">
        <w:tblPrEx>
          <w:tblCellMar>
            <w:top w:w="0" w:type="dxa"/>
            <w:left w:w="108" w:type="dxa"/>
            <w:bottom w:w="0" w:type="dxa"/>
            <w:right w:w="108" w:type="dxa"/>
          </w:tblCellMar>
        </w:tblPrEx>
        <w:trPr>
          <w:trHeight w:val="7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BF29164">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33</w:t>
            </w:r>
          </w:p>
        </w:tc>
        <w:tc>
          <w:tcPr>
            <w:tcW w:w="1527" w:type="dxa"/>
            <w:tcBorders>
              <w:top w:val="single" w:color="000000" w:sz="4" w:space="0"/>
              <w:left w:val="single" w:color="000000" w:sz="4" w:space="0"/>
              <w:bottom w:val="single" w:color="000000" w:sz="4" w:space="0"/>
              <w:right w:val="single" w:color="000000" w:sz="4" w:space="0"/>
            </w:tcBorders>
            <w:vAlign w:val="center"/>
          </w:tcPr>
          <w:p w14:paraId="379999CC">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▲内网聊天</w:t>
            </w:r>
          </w:p>
        </w:tc>
        <w:tc>
          <w:tcPr>
            <w:tcW w:w="7200" w:type="dxa"/>
            <w:tcBorders>
              <w:top w:val="single" w:color="000000" w:sz="4" w:space="0"/>
              <w:left w:val="single" w:color="000000" w:sz="4" w:space="0"/>
              <w:bottom w:val="single" w:color="000000" w:sz="4" w:space="0"/>
              <w:right w:val="single" w:color="000000" w:sz="4" w:space="0"/>
            </w:tcBorders>
            <w:vAlign w:val="center"/>
          </w:tcPr>
          <w:p w14:paraId="7912CAD2">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终端用户可以登录自带的聊天模块功能，可以选择医院的其他用户发送、接收即时消息，支持文件发送和接收，可以查看历史消息。（须提供截图证明）</w:t>
            </w:r>
          </w:p>
        </w:tc>
      </w:tr>
      <w:tr w14:paraId="2AF94EAA">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41D5093">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34</w:t>
            </w:r>
          </w:p>
        </w:tc>
        <w:tc>
          <w:tcPr>
            <w:tcW w:w="1527" w:type="dxa"/>
            <w:tcBorders>
              <w:top w:val="single" w:color="000000" w:sz="4" w:space="0"/>
              <w:left w:val="single" w:color="000000" w:sz="4" w:space="0"/>
              <w:bottom w:val="single" w:color="000000" w:sz="4" w:space="0"/>
              <w:right w:val="single" w:color="000000" w:sz="4" w:space="0"/>
            </w:tcBorders>
            <w:vAlign w:val="center"/>
          </w:tcPr>
          <w:p w14:paraId="15359799">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▲多屏墙</w:t>
            </w:r>
          </w:p>
        </w:tc>
        <w:tc>
          <w:tcPr>
            <w:tcW w:w="7200" w:type="dxa"/>
            <w:tcBorders>
              <w:top w:val="single" w:color="000000" w:sz="4" w:space="0"/>
              <w:left w:val="single" w:color="000000" w:sz="4" w:space="0"/>
              <w:bottom w:val="single" w:color="000000" w:sz="4" w:space="0"/>
              <w:right w:val="single" w:color="000000" w:sz="4" w:space="0"/>
            </w:tcBorders>
            <w:vAlign w:val="center"/>
          </w:tcPr>
          <w:p w14:paraId="3513031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管理员可以实时查看多个计算机的电脑屏幕，最大支持64屏同时监看；可灵活设置监控屏数和自动循环播放的时间。（须提供截图证明）</w:t>
            </w:r>
          </w:p>
        </w:tc>
      </w:tr>
      <w:tr w14:paraId="386CBAAE">
        <w:tblPrEx>
          <w:tblCellMar>
            <w:top w:w="0" w:type="dxa"/>
            <w:left w:w="108" w:type="dxa"/>
            <w:bottom w:w="0" w:type="dxa"/>
            <w:right w:w="108" w:type="dxa"/>
          </w:tblCellMar>
        </w:tblPrEx>
        <w:trPr>
          <w:trHeight w:val="769"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E92853C">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35</w:t>
            </w:r>
          </w:p>
        </w:tc>
        <w:tc>
          <w:tcPr>
            <w:tcW w:w="1527" w:type="dxa"/>
            <w:tcBorders>
              <w:top w:val="single" w:color="000000" w:sz="4" w:space="0"/>
              <w:left w:val="single" w:color="000000" w:sz="4" w:space="0"/>
              <w:bottom w:val="single" w:color="000000" w:sz="4" w:space="0"/>
              <w:right w:val="single" w:color="000000" w:sz="4" w:space="0"/>
            </w:tcBorders>
            <w:vAlign w:val="center"/>
          </w:tcPr>
          <w:p w14:paraId="15335BA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★系统盘自动还原</w:t>
            </w:r>
          </w:p>
        </w:tc>
        <w:tc>
          <w:tcPr>
            <w:tcW w:w="7200" w:type="dxa"/>
            <w:tcBorders>
              <w:top w:val="single" w:color="000000" w:sz="4" w:space="0"/>
              <w:left w:val="single" w:color="000000" w:sz="4" w:space="0"/>
              <w:bottom w:val="single" w:color="000000" w:sz="4" w:space="0"/>
              <w:right w:val="single" w:color="000000" w:sz="4" w:space="0"/>
            </w:tcBorders>
            <w:vAlign w:val="center"/>
          </w:tcPr>
          <w:p w14:paraId="47FDEEB9">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对于终端计算机提供系统盘还原功能，每次计算机重启，对于系统盘的写入信息，全部丢弃，系统盘恢复原状。（须提供截图证明）</w:t>
            </w:r>
          </w:p>
        </w:tc>
      </w:tr>
      <w:tr w14:paraId="2B129D45">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A870CEF">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36</w:t>
            </w:r>
          </w:p>
        </w:tc>
        <w:tc>
          <w:tcPr>
            <w:tcW w:w="1527" w:type="dxa"/>
            <w:tcBorders>
              <w:top w:val="single" w:color="000000" w:sz="4" w:space="0"/>
              <w:left w:val="single" w:color="000000" w:sz="4" w:space="0"/>
              <w:bottom w:val="single" w:color="000000" w:sz="4" w:space="0"/>
              <w:right w:val="single" w:color="000000" w:sz="4" w:space="0"/>
            </w:tcBorders>
            <w:vAlign w:val="center"/>
          </w:tcPr>
          <w:p w14:paraId="67911D2E">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▲U盘管理</w:t>
            </w:r>
          </w:p>
        </w:tc>
        <w:tc>
          <w:tcPr>
            <w:tcW w:w="7200" w:type="dxa"/>
            <w:tcBorders>
              <w:top w:val="single" w:color="000000" w:sz="4" w:space="0"/>
              <w:left w:val="single" w:color="000000" w:sz="4" w:space="0"/>
              <w:bottom w:val="single" w:color="000000" w:sz="4" w:space="0"/>
              <w:right w:val="single" w:color="000000" w:sz="4" w:space="0"/>
            </w:tcBorders>
            <w:vAlign w:val="center"/>
          </w:tcPr>
          <w:p w14:paraId="2E5390EB">
            <w:pPr>
              <w:textAlignment w:val="center"/>
              <w:rPr>
                <w:rFonts w:ascii="微软雅黑" w:hAnsi="微软雅黑" w:eastAsia="微软雅黑" w:cs="微软雅黑"/>
                <w:szCs w:val="21"/>
              </w:rPr>
            </w:pPr>
            <w:r>
              <w:rPr>
                <w:rFonts w:hint="eastAsia" w:ascii="微软雅黑" w:hAnsi="微软雅黑" w:eastAsia="微软雅黑" w:cs="微软雅黑"/>
                <w:szCs w:val="21"/>
              </w:rPr>
              <w:t>可以设置禁止使用U盘，可以为U盘设置只读，只写权限，U盘插入报警；</w:t>
            </w:r>
          </w:p>
          <w:p w14:paraId="32E56638">
            <w:pPr>
              <w:textAlignment w:val="center"/>
              <w:rPr>
                <w:rFonts w:ascii="微软雅黑" w:hAnsi="微软雅黑" w:eastAsia="微软雅黑" w:cs="微软雅黑"/>
                <w:szCs w:val="21"/>
              </w:rPr>
            </w:pPr>
            <w:r>
              <w:rPr>
                <w:rFonts w:hint="eastAsia" w:ascii="微软雅黑" w:hAnsi="微软雅黑" w:eastAsia="微软雅黑" w:cs="微软雅黑"/>
                <w:szCs w:val="21"/>
              </w:rPr>
              <w:t>支持制作例外U盘，制作后的例外U盘，可以在单位内部按权使用，支持表格批量导入例外U盘；</w:t>
            </w:r>
          </w:p>
          <w:p w14:paraId="008ED8E2">
            <w:pPr>
              <w:textAlignment w:val="center"/>
              <w:rPr>
                <w:rFonts w:ascii="微软雅黑" w:hAnsi="微软雅黑" w:eastAsia="微软雅黑" w:cs="微软雅黑"/>
                <w:szCs w:val="21"/>
              </w:rPr>
            </w:pPr>
            <w:r>
              <w:rPr>
                <w:rFonts w:hint="eastAsia" w:ascii="微软雅黑" w:hAnsi="微软雅黑" w:eastAsia="微软雅黑" w:cs="微软雅黑"/>
                <w:szCs w:val="21"/>
              </w:rPr>
              <w:t>客户端本地也可向管理员申请例外U盘，管理人员可以收到申请消息，并进行审批；</w:t>
            </w:r>
          </w:p>
          <w:p w14:paraId="1BD321A4">
            <w:pPr>
              <w:textAlignment w:val="center"/>
              <w:rPr>
                <w:rFonts w:ascii="微软雅黑" w:hAnsi="微软雅黑" w:eastAsia="微软雅黑" w:cs="微软雅黑"/>
                <w:szCs w:val="21"/>
              </w:rPr>
            </w:pPr>
            <w:r>
              <w:rPr>
                <w:rFonts w:hint="eastAsia" w:ascii="微软雅黑" w:hAnsi="微软雅黑" w:eastAsia="微软雅黑" w:cs="微软雅黑"/>
                <w:szCs w:val="21"/>
              </w:rPr>
              <w:t>支持灵活设置管控时间段，同时提供自动清理U盘使用痕迹功能。</w:t>
            </w:r>
          </w:p>
          <w:p w14:paraId="38FC6B8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（须提供截图证明）</w:t>
            </w:r>
          </w:p>
        </w:tc>
      </w:tr>
      <w:tr w14:paraId="68457132">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A6B283E">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37</w:t>
            </w:r>
          </w:p>
        </w:tc>
        <w:tc>
          <w:tcPr>
            <w:tcW w:w="1527" w:type="dxa"/>
            <w:tcBorders>
              <w:top w:val="single" w:color="000000" w:sz="4" w:space="0"/>
              <w:left w:val="single" w:color="000000" w:sz="4" w:space="0"/>
              <w:bottom w:val="single" w:color="000000" w:sz="4" w:space="0"/>
              <w:right w:val="single" w:color="000000" w:sz="4" w:space="0"/>
            </w:tcBorders>
            <w:vAlign w:val="center"/>
          </w:tcPr>
          <w:p w14:paraId="78F8040B">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保密U盘</w:t>
            </w:r>
          </w:p>
        </w:tc>
        <w:tc>
          <w:tcPr>
            <w:tcW w:w="7200" w:type="dxa"/>
            <w:tcBorders>
              <w:top w:val="single" w:color="000000" w:sz="4" w:space="0"/>
              <w:left w:val="single" w:color="000000" w:sz="4" w:space="0"/>
              <w:bottom w:val="single" w:color="000000" w:sz="4" w:space="0"/>
              <w:right w:val="single" w:color="000000" w:sz="4" w:space="0"/>
            </w:tcBorders>
            <w:vAlign w:val="center"/>
          </w:tcPr>
          <w:p w14:paraId="7C1A9DEB">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持制作保密U盘，制作好的保密U盘只能在认证的计算机中使用，插入到任何非认证的计算机都不能使用。</w:t>
            </w:r>
          </w:p>
        </w:tc>
      </w:tr>
      <w:tr w14:paraId="5D8246CA">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1D71C76">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38</w:t>
            </w:r>
          </w:p>
        </w:tc>
        <w:tc>
          <w:tcPr>
            <w:tcW w:w="1527" w:type="dxa"/>
            <w:tcBorders>
              <w:top w:val="single" w:color="000000" w:sz="4" w:space="0"/>
              <w:left w:val="single" w:color="000000" w:sz="4" w:space="0"/>
              <w:bottom w:val="single" w:color="000000" w:sz="4" w:space="0"/>
              <w:right w:val="single" w:color="000000" w:sz="4" w:space="0"/>
            </w:tcBorders>
            <w:vAlign w:val="center"/>
          </w:tcPr>
          <w:p w14:paraId="60139259">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硬件资产管理</w:t>
            </w:r>
          </w:p>
        </w:tc>
        <w:tc>
          <w:tcPr>
            <w:tcW w:w="7200" w:type="dxa"/>
            <w:tcBorders>
              <w:top w:val="single" w:color="000000" w:sz="4" w:space="0"/>
              <w:left w:val="single" w:color="000000" w:sz="4" w:space="0"/>
              <w:bottom w:val="single" w:color="000000" w:sz="4" w:space="0"/>
              <w:right w:val="single" w:color="000000" w:sz="4" w:space="0"/>
            </w:tcBorders>
            <w:vAlign w:val="center"/>
          </w:tcPr>
          <w:p w14:paraId="52AE013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管理者可以查询硬件资产统计报表，自动收集硬件资产的变更情况。包括CPU、内存、硬盘、打印设备、串口设备等。可以对于硬件资产信息进行自定义操作，包括设置维保日期，责任人，机器品牌，配备时间，配备方式。</w:t>
            </w:r>
          </w:p>
        </w:tc>
      </w:tr>
      <w:tr w14:paraId="2CE7126F">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891F50A">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39</w:t>
            </w:r>
          </w:p>
        </w:tc>
        <w:tc>
          <w:tcPr>
            <w:tcW w:w="1527" w:type="dxa"/>
            <w:tcBorders>
              <w:top w:val="single" w:color="000000" w:sz="4" w:space="0"/>
              <w:left w:val="single" w:color="000000" w:sz="4" w:space="0"/>
              <w:bottom w:val="single" w:color="000000" w:sz="4" w:space="0"/>
              <w:right w:val="single" w:color="000000" w:sz="4" w:space="0"/>
            </w:tcBorders>
            <w:vAlign w:val="center"/>
          </w:tcPr>
          <w:p w14:paraId="04CF7512">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软件资产管理</w:t>
            </w:r>
          </w:p>
        </w:tc>
        <w:tc>
          <w:tcPr>
            <w:tcW w:w="7200" w:type="dxa"/>
            <w:tcBorders>
              <w:top w:val="single" w:color="000000" w:sz="4" w:space="0"/>
              <w:left w:val="single" w:color="000000" w:sz="4" w:space="0"/>
              <w:bottom w:val="single" w:color="000000" w:sz="4" w:space="0"/>
              <w:right w:val="single" w:color="000000" w:sz="4" w:space="0"/>
            </w:tcBorders>
            <w:vAlign w:val="center"/>
          </w:tcPr>
          <w:p w14:paraId="15B69017">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管理者可以查询软件统计报表，自动收集软件的变更情况。可以统计安全软件名称、安装日期、版本号、发布者。</w:t>
            </w:r>
          </w:p>
        </w:tc>
      </w:tr>
      <w:tr w14:paraId="5C5B4787">
        <w:tblPrEx>
          <w:tblCellMar>
            <w:top w:w="0" w:type="dxa"/>
            <w:left w:w="108" w:type="dxa"/>
            <w:bottom w:w="0" w:type="dxa"/>
            <w:right w:w="108" w:type="dxa"/>
          </w:tblCellMar>
        </w:tblPrEx>
        <w:trPr>
          <w:trHeight w:val="96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2F67370">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40</w:t>
            </w:r>
          </w:p>
        </w:tc>
        <w:tc>
          <w:tcPr>
            <w:tcW w:w="1527" w:type="dxa"/>
            <w:tcBorders>
              <w:top w:val="single" w:color="000000" w:sz="4" w:space="0"/>
              <w:left w:val="single" w:color="000000" w:sz="4" w:space="0"/>
              <w:bottom w:val="single" w:color="000000" w:sz="4" w:space="0"/>
              <w:right w:val="single" w:color="000000" w:sz="4" w:space="0"/>
            </w:tcBorders>
            <w:vAlign w:val="center"/>
          </w:tcPr>
          <w:p w14:paraId="3F62112A">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杀毒软件检测</w:t>
            </w:r>
          </w:p>
        </w:tc>
        <w:tc>
          <w:tcPr>
            <w:tcW w:w="7200" w:type="dxa"/>
            <w:tcBorders>
              <w:top w:val="single" w:color="000000" w:sz="4" w:space="0"/>
              <w:left w:val="single" w:color="000000" w:sz="4" w:space="0"/>
              <w:bottom w:val="single" w:color="000000" w:sz="4" w:space="0"/>
              <w:right w:val="single" w:color="000000" w:sz="4" w:space="0"/>
            </w:tcBorders>
            <w:vAlign w:val="center"/>
          </w:tcPr>
          <w:p w14:paraId="7FBD2CDC">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管理员可以按计算机模式查看所有客户端的杀毒软件状况，包括是否安装杀毒软件、杀毒软件状态、杀毒软件版本号等。</w:t>
            </w:r>
          </w:p>
        </w:tc>
      </w:tr>
      <w:tr w14:paraId="6B0A9990">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FEF57DD">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41</w:t>
            </w:r>
          </w:p>
        </w:tc>
        <w:tc>
          <w:tcPr>
            <w:tcW w:w="1527" w:type="dxa"/>
            <w:tcBorders>
              <w:top w:val="single" w:color="000000" w:sz="4" w:space="0"/>
              <w:left w:val="single" w:color="000000" w:sz="4" w:space="0"/>
              <w:bottom w:val="single" w:color="000000" w:sz="4" w:space="0"/>
              <w:right w:val="single" w:color="000000" w:sz="4" w:space="0"/>
            </w:tcBorders>
            <w:vAlign w:val="center"/>
          </w:tcPr>
          <w:p w14:paraId="5303AC0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Windows服务</w:t>
            </w:r>
          </w:p>
        </w:tc>
        <w:tc>
          <w:tcPr>
            <w:tcW w:w="7200" w:type="dxa"/>
            <w:tcBorders>
              <w:top w:val="single" w:color="000000" w:sz="4" w:space="0"/>
              <w:left w:val="single" w:color="000000" w:sz="4" w:space="0"/>
              <w:bottom w:val="single" w:color="000000" w:sz="4" w:space="0"/>
              <w:right w:val="single" w:color="000000" w:sz="4" w:space="0"/>
            </w:tcBorders>
            <w:vAlign w:val="center"/>
          </w:tcPr>
          <w:p w14:paraId="3FBE24F1">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查看客户端的windows服务状况，可以设置WINDOWS服务端状态，如禁用、启用服务等。可以禁止、禁用、启用服务。</w:t>
            </w:r>
          </w:p>
        </w:tc>
      </w:tr>
      <w:tr w14:paraId="04D656F5">
        <w:tblPrEx>
          <w:tblCellMar>
            <w:top w:w="0" w:type="dxa"/>
            <w:left w:w="108" w:type="dxa"/>
            <w:bottom w:w="0" w:type="dxa"/>
            <w:right w:w="108" w:type="dxa"/>
          </w:tblCellMar>
        </w:tblPrEx>
        <w:trPr>
          <w:trHeight w:val="7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90845C9">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42</w:t>
            </w:r>
          </w:p>
        </w:tc>
        <w:tc>
          <w:tcPr>
            <w:tcW w:w="1527" w:type="dxa"/>
            <w:tcBorders>
              <w:top w:val="single" w:color="000000" w:sz="4" w:space="0"/>
              <w:left w:val="single" w:color="000000" w:sz="4" w:space="0"/>
              <w:bottom w:val="single" w:color="000000" w:sz="4" w:space="0"/>
              <w:right w:val="single" w:color="000000" w:sz="4" w:space="0"/>
            </w:tcBorders>
            <w:vAlign w:val="center"/>
          </w:tcPr>
          <w:p w14:paraId="30865DD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windows补丁管理</w:t>
            </w:r>
          </w:p>
        </w:tc>
        <w:tc>
          <w:tcPr>
            <w:tcW w:w="7200" w:type="dxa"/>
            <w:tcBorders>
              <w:top w:val="single" w:color="000000" w:sz="4" w:space="0"/>
              <w:left w:val="single" w:color="000000" w:sz="4" w:space="0"/>
              <w:bottom w:val="single" w:color="000000" w:sz="4" w:space="0"/>
              <w:right w:val="single" w:color="000000" w:sz="4" w:space="0"/>
            </w:tcBorders>
            <w:vAlign w:val="center"/>
          </w:tcPr>
          <w:p w14:paraId="279F7B5C">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可以搜集当前终端计算机的系统漏洞，以折线图的形式展现最近7天全网终端的漏洞数和趋势；以这线图的形式展示最近7天全网终端修复漏洞数；系统可以展示全部补丁信息，管理员可以根据补丁编号、补丁名称、补丁支持的操作系统进行搜索，选择需要的补丁；管理员可以查看每个补丁，在那些计算机上安装了；管理员可以查看所有补丁安装的信息，包括安装成功、安装失败、忽略信息。管理员可以设置补丁的分发速度和分发时间。管理员可以设置补丁的分发部门和分发终端。须提供截图证明</w:t>
            </w:r>
          </w:p>
        </w:tc>
      </w:tr>
      <w:tr w14:paraId="30040BE7">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6DCDD14">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43</w:t>
            </w:r>
          </w:p>
        </w:tc>
        <w:tc>
          <w:tcPr>
            <w:tcW w:w="1527" w:type="dxa"/>
            <w:tcBorders>
              <w:top w:val="single" w:color="000000" w:sz="4" w:space="0"/>
              <w:left w:val="single" w:color="000000" w:sz="4" w:space="0"/>
              <w:bottom w:val="single" w:color="000000" w:sz="4" w:space="0"/>
              <w:right w:val="single" w:color="000000" w:sz="4" w:space="0"/>
            </w:tcBorders>
            <w:vAlign w:val="center"/>
          </w:tcPr>
          <w:p w14:paraId="7FB5952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自动同步时间</w:t>
            </w:r>
          </w:p>
        </w:tc>
        <w:tc>
          <w:tcPr>
            <w:tcW w:w="7200" w:type="dxa"/>
            <w:tcBorders>
              <w:top w:val="single" w:color="000000" w:sz="4" w:space="0"/>
              <w:left w:val="single" w:color="000000" w:sz="4" w:space="0"/>
              <w:bottom w:val="single" w:color="000000" w:sz="4" w:space="0"/>
              <w:right w:val="single" w:color="000000" w:sz="4" w:space="0"/>
            </w:tcBorders>
            <w:vAlign w:val="center"/>
          </w:tcPr>
          <w:p w14:paraId="269353D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客户端自动同步服务器时间。须提供截图证明</w:t>
            </w:r>
          </w:p>
        </w:tc>
      </w:tr>
      <w:tr w14:paraId="584B1360">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9AE1CF5">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44</w:t>
            </w:r>
          </w:p>
        </w:tc>
        <w:tc>
          <w:tcPr>
            <w:tcW w:w="1527" w:type="dxa"/>
            <w:tcBorders>
              <w:top w:val="single" w:color="000000" w:sz="4" w:space="0"/>
              <w:left w:val="single" w:color="000000" w:sz="4" w:space="0"/>
              <w:bottom w:val="single" w:color="000000" w:sz="4" w:space="0"/>
              <w:right w:val="single" w:color="000000" w:sz="4" w:space="0"/>
            </w:tcBorders>
            <w:vAlign w:val="center"/>
          </w:tcPr>
          <w:p w14:paraId="7C7C769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即时通讯管理</w:t>
            </w:r>
          </w:p>
        </w:tc>
        <w:tc>
          <w:tcPr>
            <w:tcW w:w="7200" w:type="dxa"/>
            <w:tcBorders>
              <w:top w:val="single" w:color="000000" w:sz="4" w:space="0"/>
              <w:left w:val="single" w:color="000000" w:sz="4" w:space="0"/>
              <w:bottom w:val="single" w:color="000000" w:sz="4" w:space="0"/>
              <w:right w:val="single" w:color="000000" w:sz="4" w:space="0"/>
            </w:tcBorders>
            <w:vAlign w:val="center"/>
          </w:tcPr>
          <w:p w14:paraId="197E8B0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可以详细记录QQ、MSN、SKYPE、微信聊天内容和外发文件。</w:t>
            </w:r>
          </w:p>
        </w:tc>
      </w:tr>
      <w:tr w14:paraId="7C344E38">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C2CD382">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45</w:t>
            </w:r>
          </w:p>
        </w:tc>
        <w:tc>
          <w:tcPr>
            <w:tcW w:w="1527" w:type="dxa"/>
            <w:tcBorders>
              <w:top w:val="single" w:color="000000" w:sz="4" w:space="0"/>
              <w:left w:val="single" w:color="000000" w:sz="4" w:space="0"/>
              <w:bottom w:val="single" w:color="000000" w:sz="4" w:space="0"/>
              <w:right w:val="single" w:color="000000" w:sz="4" w:space="0"/>
            </w:tcBorders>
            <w:vAlign w:val="center"/>
          </w:tcPr>
          <w:p w14:paraId="1F47142E">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文件外发记录/控制</w:t>
            </w:r>
          </w:p>
        </w:tc>
        <w:tc>
          <w:tcPr>
            <w:tcW w:w="7200" w:type="dxa"/>
            <w:tcBorders>
              <w:top w:val="single" w:color="000000" w:sz="4" w:space="0"/>
              <w:left w:val="single" w:color="000000" w:sz="4" w:space="0"/>
              <w:bottom w:val="single" w:color="000000" w:sz="4" w:space="0"/>
              <w:right w:val="single" w:color="000000" w:sz="4" w:space="0"/>
            </w:tcBorders>
            <w:vAlign w:val="center"/>
          </w:tcPr>
          <w:p w14:paraId="3A4E4245">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客户端会自动记录用户文档外发行为。包括QQ外发、USB外发、浏览器外发等，同时可以记录外发的源文件。禁止用户通过浏览器外发文件。禁止QQ外发文件。禁止阿里旺旺外发文件。禁止微信电脑版外发文件。禁止MSN外发文件。禁止U盘外发文件。禁止拷贝文件到USB设备。禁止拷贝文件到共享目录。禁止拷贝文件到网络硬盘。禁止从USB拷贝文件到本地计算机。禁止从共享目录拷贝文件到本地计算机。从网络硬盘拷贝文件到本地计算机。限制USB设备拷贝文件的大小。</w:t>
            </w:r>
          </w:p>
        </w:tc>
      </w:tr>
      <w:tr w14:paraId="0F462AA3">
        <w:tblPrEx>
          <w:tblCellMar>
            <w:top w:w="0" w:type="dxa"/>
            <w:left w:w="108" w:type="dxa"/>
            <w:bottom w:w="0" w:type="dxa"/>
            <w:right w:w="108" w:type="dxa"/>
          </w:tblCellMar>
        </w:tblPrEx>
        <w:trPr>
          <w:trHeight w:val="2141"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1A7AC60">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46</w:t>
            </w:r>
          </w:p>
        </w:tc>
        <w:tc>
          <w:tcPr>
            <w:tcW w:w="1527" w:type="dxa"/>
            <w:tcBorders>
              <w:top w:val="single" w:color="000000" w:sz="4" w:space="0"/>
              <w:left w:val="single" w:color="000000" w:sz="4" w:space="0"/>
              <w:bottom w:val="single" w:color="000000" w:sz="4" w:space="0"/>
              <w:right w:val="single" w:color="000000" w:sz="4" w:space="0"/>
            </w:tcBorders>
            <w:vAlign w:val="center"/>
          </w:tcPr>
          <w:p w14:paraId="2008F4CC">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▲系统提供大屏幕展示功能</w:t>
            </w:r>
          </w:p>
        </w:tc>
        <w:tc>
          <w:tcPr>
            <w:tcW w:w="7200" w:type="dxa"/>
            <w:tcBorders>
              <w:top w:val="single" w:color="000000" w:sz="4" w:space="0"/>
              <w:left w:val="single" w:color="000000" w:sz="4" w:space="0"/>
              <w:bottom w:val="single" w:color="000000" w:sz="4" w:space="0"/>
              <w:right w:val="single" w:color="000000" w:sz="4" w:space="0"/>
            </w:tcBorders>
            <w:vAlign w:val="center"/>
          </w:tcPr>
          <w:p w14:paraId="2E767737">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以WEB形式展现，支持4K电视机屏幕完美呈现，可以在同一个屏幕上动态展示以下数据：分别以饼状图展示操作系统分布情况、计算机品牌分布情况、杀毒软件分布情况；以跑马灯的形式展示全网终端的健康度；大屏幕可以展示终端计算机维保在1至3年，3至5年，5至10年，10年以上的各个阶段的计算机数量;可以对于未关机电脑数量进行统计。（须提供截图证明）</w:t>
            </w:r>
          </w:p>
        </w:tc>
      </w:tr>
      <w:tr w14:paraId="6F163963">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6284A0A">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47</w:t>
            </w:r>
          </w:p>
        </w:tc>
        <w:tc>
          <w:tcPr>
            <w:tcW w:w="1527" w:type="dxa"/>
            <w:tcBorders>
              <w:top w:val="single" w:color="000000" w:sz="4" w:space="0"/>
              <w:left w:val="single" w:color="000000" w:sz="4" w:space="0"/>
              <w:bottom w:val="single" w:color="000000" w:sz="4" w:space="0"/>
              <w:right w:val="single" w:color="000000" w:sz="4" w:space="0"/>
            </w:tcBorders>
            <w:vAlign w:val="center"/>
          </w:tcPr>
          <w:p w14:paraId="43A0DF6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文件分发</w:t>
            </w:r>
          </w:p>
        </w:tc>
        <w:tc>
          <w:tcPr>
            <w:tcW w:w="7200" w:type="dxa"/>
            <w:tcBorders>
              <w:top w:val="single" w:color="000000" w:sz="4" w:space="0"/>
              <w:left w:val="single" w:color="000000" w:sz="4" w:space="0"/>
              <w:bottom w:val="single" w:color="000000" w:sz="4" w:space="0"/>
              <w:right w:val="single" w:color="000000" w:sz="4" w:space="0"/>
            </w:tcBorders>
            <w:vAlign w:val="center"/>
          </w:tcPr>
          <w:p w14:paraId="5BA63AD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管理员可以对远程计算机进行文件传送。可以自定义文件分发位置。支持多人传送。以任务的形式提交到服务器，对于在线的计算机立刻分发，对于不在线的计算机，开机后自动执行分发任务。</w:t>
            </w:r>
          </w:p>
        </w:tc>
      </w:tr>
      <w:tr w14:paraId="3959B127">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3777218">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48</w:t>
            </w:r>
          </w:p>
        </w:tc>
        <w:tc>
          <w:tcPr>
            <w:tcW w:w="1527" w:type="dxa"/>
            <w:tcBorders>
              <w:top w:val="single" w:color="000000" w:sz="4" w:space="0"/>
              <w:left w:val="single" w:color="000000" w:sz="4" w:space="0"/>
              <w:bottom w:val="single" w:color="000000" w:sz="4" w:space="0"/>
              <w:right w:val="single" w:color="000000" w:sz="4" w:space="0"/>
            </w:tcBorders>
            <w:vAlign w:val="center"/>
          </w:tcPr>
          <w:p w14:paraId="79E6383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软件安装</w:t>
            </w:r>
          </w:p>
        </w:tc>
        <w:tc>
          <w:tcPr>
            <w:tcW w:w="7200" w:type="dxa"/>
            <w:tcBorders>
              <w:top w:val="single" w:color="000000" w:sz="4" w:space="0"/>
              <w:left w:val="single" w:color="000000" w:sz="4" w:space="0"/>
              <w:bottom w:val="single" w:color="000000" w:sz="4" w:space="0"/>
              <w:right w:val="single" w:color="000000" w:sz="4" w:space="0"/>
            </w:tcBorders>
            <w:vAlign w:val="center"/>
          </w:tcPr>
          <w:p w14:paraId="0E0C814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管理员可以对计算机实行远程推送安装软件。以任务的形式提交到服务器，对于在线的计算机立刻安装，对于不在线的计算机，开机后自动执行安装任务。分发时间可自行设置开始时间与结束时间，分发速度也可限制。</w:t>
            </w:r>
          </w:p>
        </w:tc>
      </w:tr>
      <w:tr w14:paraId="6FBCA74D">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05B606E">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49</w:t>
            </w:r>
          </w:p>
        </w:tc>
        <w:tc>
          <w:tcPr>
            <w:tcW w:w="1527" w:type="dxa"/>
            <w:tcBorders>
              <w:top w:val="single" w:color="000000" w:sz="4" w:space="0"/>
              <w:left w:val="single" w:color="000000" w:sz="4" w:space="0"/>
              <w:bottom w:val="single" w:color="000000" w:sz="4" w:space="0"/>
              <w:right w:val="single" w:color="000000" w:sz="4" w:space="0"/>
            </w:tcBorders>
            <w:vAlign w:val="center"/>
          </w:tcPr>
          <w:p w14:paraId="0DDE04A1">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屏幕保护</w:t>
            </w:r>
          </w:p>
        </w:tc>
        <w:tc>
          <w:tcPr>
            <w:tcW w:w="7200" w:type="dxa"/>
            <w:tcBorders>
              <w:top w:val="single" w:color="000000" w:sz="4" w:space="0"/>
              <w:left w:val="single" w:color="000000" w:sz="4" w:space="0"/>
              <w:bottom w:val="single" w:color="000000" w:sz="4" w:space="0"/>
              <w:right w:val="single" w:color="000000" w:sz="4" w:space="0"/>
            </w:tcBorders>
            <w:vAlign w:val="center"/>
          </w:tcPr>
          <w:p w14:paraId="51D8A8D1">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可以远程批量统一分发客户端桌面屏保；管理员可以在系统中上传制作好的屏幕保护文件，以及无操作多长时间后启动屏保。</w:t>
            </w:r>
          </w:p>
        </w:tc>
      </w:tr>
      <w:tr w14:paraId="07B74BED">
        <w:tblPrEx>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E3638B1">
            <w:pPr>
              <w:pStyle w:val="9"/>
              <w:jc w:val="center"/>
              <w:rPr>
                <w:rFonts w:ascii="微软雅黑" w:hAnsi="微软雅黑" w:eastAsia="微软雅黑" w:cs="微软雅黑"/>
                <w:sz w:val="21"/>
                <w:szCs w:val="21"/>
              </w:rPr>
            </w:pPr>
            <w:r>
              <w:rPr>
                <w:rFonts w:hint="eastAsia" w:ascii="微软雅黑" w:hAnsi="微软雅黑" w:eastAsia="微软雅黑" w:cs="微软雅黑"/>
                <w:sz w:val="21"/>
                <w:szCs w:val="21"/>
              </w:rPr>
              <w:t>50</w:t>
            </w:r>
          </w:p>
        </w:tc>
        <w:tc>
          <w:tcPr>
            <w:tcW w:w="1527" w:type="dxa"/>
            <w:tcBorders>
              <w:top w:val="single" w:color="000000" w:sz="4" w:space="0"/>
              <w:left w:val="single" w:color="000000" w:sz="4" w:space="0"/>
              <w:bottom w:val="single" w:color="000000" w:sz="4" w:space="0"/>
              <w:right w:val="single" w:color="000000" w:sz="4" w:space="0"/>
            </w:tcBorders>
            <w:vAlign w:val="center"/>
          </w:tcPr>
          <w:p w14:paraId="599DBE29">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桌面背景</w:t>
            </w:r>
          </w:p>
        </w:tc>
        <w:tc>
          <w:tcPr>
            <w:tcW w:w="7200" w:type="dxa"/>
            <w:tcBorders>
              <w:top w:val="single" w:color="000000" w:sz="4" w:space="0"/>
              <w:left w:val="single" w:color="000000" w:sz="4" w:space="0"/>
              <w:bottom w:val="single" w:color="000000" w:sz="4" w:space="0"/>
              <w:right w:val="single" w:color="000000" w:sz="4" w:space="0"/>
            </w:tcBorders>
            <w:vAlign w:val="center"/>
          </w:tcPr>
          <w:p w14:paraId="4728D86A">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可以远程批量统一分发客户端桌面背景。</w:t>
            </w:r>
          </w:p>
        </w:tc>
      </w:tr>
    </w:tbl>
    <w:p w14:paraId="667C0615">
      <w:pPr>
        <w:spacing w:line="380" w:lineRule="exact"/>
        <w:outlineLvl w:val="4"/>
        <w:rPr>
          <w:rFonts w:ascii="微软雅黑" w:hAnsi="微软雅黑" w:eastAsia="微软雅黑" w:cs="微软雅黑"/>
          <w:bCs/>
          <w:szCs w:val="21"/>
        </w:rPr>
      </w:pPr>
    </w:p>
    <w:p w14:paraId="5CCD93AE">
      <w:pPr>
        <w:spacing w:line="380" w:lineRule="exact"/>
        <w:outlineLvl w:val="4"/>
        <w:rPr>
          <w:rFonts w:ascii="微软雅黑" w:hAnsi="微软雅黑" w:eastAsia="微软雅黑" w:cs="微软雅黑"/>
          <w:b/>
          <w:szCs w:val="21"/>
        </w:rPr>
      </w:pPr>
      <w:r>
        <w:rPr>
          <w:rFonts w:hint="eastAsia" w:ascii="微软雅黑" w:hAnsi="微软雅黑" w:eastAsia="微软雅黑" w:cs="微软雅黑"/>
          <w:b/>
          <w:szCs w:val="21"/>
        </w:rPr>
        <w:t>五、商务要求</w:t>
      </w:r>
    </w:p>
    <w:tbl>
      <w:tblPr>
        <w:tblStyle w:val="18"/>
        <w:tblW w:w="949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60"/>
        <w:gridCol w:w="7938"/>
      </w:tblGrid>
      <w:tr w14:paraId="24229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560" w:type="dxa"/>
            <w:vAlign w:val="center"/>
          </w:tcPr>
          <w:p w14:paraId="5EE24ED6">
            <w:pPr>
              <w:spacing w:line="380" w:lineRule="exact"/>
              <w:rPr>
                <w:rFonts w:ascii="微软雅黑" w:hAnsi="微软雅黑" w:eastAsia="微软雅黑" w:cs="微软雅黑"/>
                <w:szCs w:val="21"/>
              </w:rPr>
            </w:pPr>
            <w:r>
              <w:rPr>
                <w:rFonts w:hint="eastAsia" w:ascii="微软雅黑" w:hAnsi="微软雅黑" w:eastAsia="微软雅黑" w:cs="微软雅黑"/>
                <w:bCs/>
                <w:kern w:val="0"/>
                <w:szCs w:val="21"/>
              </w:rPr>
              <w:t>★采购预算</w:t>
            </w:r>
          </w:p>
        </w:tc>
        <w:tc>
          <w:tcPr>
            <w:tcW w:w="7938" w:type="dxa"/>
            <w:vAlign w:val="center"/>
          </w:tcPr>
          <w:p w14:paraId="300E71D0">
            <w:pPr>
              <w:spacing w:line="380" w:lineRule="exact"/>
              <w:rPr>
                <w:rFonts w:ascii="微软雅黑" w:hAnsi="微软雅黑" w:eastAsia="微软雅黑" w:cs="微软雅黑"/>
                <w:szCs w:val="21"/>
              </w:rPr>
            </w:pPr>
            <w:r>
              <w:rPr>
                <w:rFonts w:hint="eastAsia" w:ascii="微软雅黑" w:hAnsi="微软雅黑" w:eastAsia="微软雅黑" w:cs="微软雅黑"/>
                <w:bCs/>
                <w:kern w:val="0"/>
                <w:szCs w:val="21"/>
              </w:rPr>
              <w:t>190000元</w:t>
            </w:r>
          </w:p>
        </w:tc>
      </w:tr>
      <w:tr w14:paraId="40528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560" w:type="dxa"/>
            <w:vAlign w:val="center"/>
          </w:tcPr>
          <w:p w14:paraId="6D77B1AD">
            <w:pPr>
              <w:spacing w:line="380" w:lineRule="exact"/>
              <w:rPr>
                <w:rFonts w:ascii="微软雅黑" w:hAnsi="微软雅黑" w:eastAsia="微软雅黑" w:cs="微软雅黑"/>
                <w:szCs w:val="21"/>
              </w:rPr>
            </w:pPr>
            <w:r>
              <w:rPr>
                <w:rFonts w:hint="eastAsia" w:ascii="微软雅黑" w:hAnsi="微软雅黑" w:eastAsia="微软雅黑" w:cs="微软雅黑"/>
                <w:bCs/>
                <w:szCs w:val="21"/>
              </w:rPr>
              <w:t>谈判响应货币</w:t>
            </w:r>
          </w:p>
        </w:tc>
        <w:tc>
          <w:tcPr>
            <w:tcW w:w="7938" w:type="dxa"/>
            <w:vAlign w:val="center"/>
          </w:tcPr>
          <w:p w14:paraId="509EA2AA">
            <w:pPr>
              <w:shd w:val="clear" w:color="auto" w:fill="FFFFFF"/>
              <w:topLinePunct/>
              <w:spacing w:line="380" w:lineRule="exact"/>
              <w:outlineLvl w:val="0"/>
              <w:rPr>
                <w:rFonts w:ascii="微软雅黑" w:hAnsi="微软雅黑" w:eastAsia="微软雅黑" w:cs="微软雅黑"/>
                <w:szCs w:val="21"/>
              </w:rPr>
            </w:pPr>
            <w:r>
              <w:rPr>
                <w:rFonts w:hint="eastAsia" w:ascii="微软雅黑" w:hAnsi="微软雅黑" w:eastAsia="微软雅黑" w:cs="微软雅黑"/>
                <w:bCs/>
                <w:kern w:val="0"/>
                <w:szCs w:val="21"/>
              </w:rPr>
              <w:t>谈判</w:t>
            </w:r>
            <w:r>
              <w:rPr>
                <w:rFonts w:hint="eastAsia" w:ascii="微软雅黑" w:hAnsi="微软雅黑" w:eastAsia="微软雅黑" w:cs="微软雅黑"/>
                <w:kern w:val="0"/>
                <w:szCs w:val="21"/>
              </w:rPr>
              <w:t>响应文件中的所有单价和总价均采用人民币报价，以元为单位标注。</w:t>
            </w:r>
          </w:p>
        </w:tc>
      </w:tr>
      <w:tr w14:paraId="71752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4" w:hRule="atLeast"/>
        </w:trPr>
        <w:tc>
          <w:tcPr>
            <w:tcW w:w="1560" w:type="dxa"/>
            <w:vAlign w:val="center"/>
          </w:tcPr>
          <w:p w14:paraId="1AAFE948">
            <w:pPr>
              <w:spacing w:line="380" w:lineRule="exact"/>
              <w:rPr>
                <w:rFonts w:ascii="微软雅黑" w:hAnsi="微软雅黑" w:eastAsia="微软雅黑" w:cs="微软雅黑"/>
                <w:szCs w:val="21"/>
              </w:rPr>
            </w:pPr>
            <w:r>
              <w:rPr>
                <w:rFonts w:hint="eastAsia" w:ascii="微软雅黑" w:hAnsi="微软雅黑" w:eastAsia="微软雅黑" w:cs="微软雅黑"/>
                <w:bCs/>
                <w:szCs w:val="21"/>
              </w:rPr>
              <w:t>★报价</w:t>
            </w:r>
          </w:p>
        </w:tc>
        <w:tc>
          <w:tcPr>
            <w:tcW w:w="7938" w:type="dxa"/>
            <w:vAlign w:val="center"/>
          </w:tcPr>
          <w:p w14:paraId="0F5FC766">
            <w:pPr>
              <w:numPr>
                <w:ilvl w:val="0"/>
                <w:numId w:val="5"/>
              </w:numPr>
              <w:spacing w:line="380" w:lineRule="exact"/>
              <w:rPr>
                <w:rFonts w:ascii="微软雅黑" w:hAnsi="微软雅黑" w:eastAsia="微软雅黑" w:cs="微软雅黑"/>
                <w:szCs w:val="21"/>
              </w:rPr>
            </w:pPr>
            <w:r>
              <w:rPr>
                <w:rFonts w:hint="eastAsia" w:ascii="微软雅黑" w:hAnsi="微软雅黑" w:eastAsia="微软雅黑" w:cs="微软雅黑"/>
                <w:szCs w:val="21"/>
              </w:rPr>
              <w:t>本价格为采购人支付的总包价格，为保证</w:t>
            </w:r>
            <w:r>
              <w:rPr>
                <w:rFonts w:hint="eastAsia" w:ascii="微软雅黑" w:hAnsi="微软雅黑" w:eastAsia="微软雅黑" w:cs="微软雅黑"/>
                <w:kern w:val="0"/>
                <w:szCs w:val="21"/>
              </w:rPr>
              <w:t>本次采购项目完全符合采购需求</w:t>
            </w:r>
            <w:r>
              <w:rPr>
                <w:rFonts w:hint="eastAsia" w:ascii="微软雅黑" w:hAnsi="微软雅黑" w:eastAsia="微软雅黑" w:cs="微软雅黑"/>
                <w:szCs w:val="21"/>
              </w:rPr>
              <w:t>所产生的所有费用均由中标人承担。</w:t>
            </w:r>
          </w:p>
        </w:tc>
      </w:tr>
      <w:tr w14:paraId="4669F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560" w:type="dxa"/>
            <w:vAlign w:val="center"/>
          </w:tcPr>
          <w:p w14:paraId="357661A5">
            <w:pPr>
              <w:spacing w:line="380" w:lineRule="exact"/>
              <w:rPr>
                <w:rFonts w:ascii="微软雅黑" w:hAnsi="微软雅黑" w:eastAsia="微软雅黑" w:cs="微软雅黑"/>
                <w:szCs w:val="21"/>
              </w:rPr>
            </w:pPr>
            <w:r>
              <w:rPr>
                <w:rFonts w:hint="eastAsia" w:ascii="微软雅黑" w:hAnsi="微软雅黑" w:eastAsia="微软雅黑" w:cs="微软雅黑"/>
                <w:bCs/>
                <w:kern w:val="0"/>
                <w:szCs w:val="21"/>
              </w:rPr>
              <w:t>★付款方式</w:t>
            </w:r>
          </w:p>
        </w:tc>
        <w:tc>
          <w:tcPr>
            <w:tcW w:w="7938" w:type="dxa"/>
            <w:vAlign w:val="center"/>
          </w:tcPr>
          <w:p w14:paraId="7A0DAA8A">
            <w:pPr>
              <w:numPr>
                <w:ilvl w:val="0"/>
                <w:numId w:val="0"/>
              </w:numPr>
              <w:spacing w:line="380" w:lineRule="exact"/>
              <w:outlineLvl w:val="0"/>
              <w:rPr>
                <w:rFonts w:ascii="微软雅黑" w:hAnsi="微软雅黑" w:eastAsia="微软雅黑" w:cs="微软雅黑"/>
                <w:szCs w:val="21"/>
                <w:highlight w:val="none"/>
              </w:rPr>
            </w:pP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highlight w:val="none"/>
              </w:rPr>
              <w:t>验收合格后付合同总金额的</w:t>
            </w:r>
            <w:r>
              <w:rPr>
                <w:rFonts w:hint="eastAsia" w:ascii="微软雅黑" w:hAnsi="微软雅黑" w:eastAsia="微软雅黑" w:cs="微软雅黑"/>
                <w:szCs w:val="21"/>
                <w:highlight w:val="none"/>
                <w:lang w:val="en-US" w:eastAsia="zh-CN"/>
              </w:rPr>
              <w:t>7</w:t>
            </w:r>
            <w:r>
              <w:rPr>
                <w:rFonts w:hint="eastAsia" w:ascii="微软雅黑" w:hAnsi="微软雅黑" w:eastAsia="微软雅黑" w:cs="微软雅黑"/>
                <w:szCs w:val="21"/>
                <w:highlight w:val="none"/>
              </w:rPr>
              <w:t>0%，验收合格满一年后付10%，验收合格满两年后付10%</w:t>
            </w:r>
            <w:r>
              <w:rPr>
                <w:rFonts w:hint="eastAsia" w:ascii="微软雅黑" w:hAnsi="微软雅黑" w:eastAsia="微软雅黑" w:cs="微软雅黑"/>
                <w:szCs w:val="21"/>
                <w:highlight w:val="none"/>
                <w:lang w:eastAsia="zh-CN"/>
              </w:rPr>
              <w:t>，</w:t>
            </w:r>
            <w:r>
              <w:rPr>
                <w:rFonts w:hint="eastAsia" w:ascii="微软雅黑" w:hAnsi="微软雅黑" w:eastAsia="微软雅黑" w:cs="微软雅黑"/>
                <w:szCs w:val="21"/>
                <w:highlight w:val="none"/>
              </w:rPr>
              <w:t>验收合格满</w:t>
            </w:r>
            <w:r>
              <w:rPr>
                <w:rFonts w:hint="eastAsia" w:ascii="微软雅黑" w:hAnsi="微软雅黑" w:eastAsia="微软雅黑" w:cs="微软雅黑"/>
                <w:szCs w:val="21"/>
                <w:highlight w:val="none"/>
                <w:lang w:val="en-US" w:eastAsia="zh-CN"/>
              </w:rPr>
              <w:t>三</w:t>
            </w:r>
            <w:r>
              <w:rPr>
                <w:rFonts w:hint="eastAsia" w:ascii="微软雅黑" w:hAnsi="微软雅黑" w:eastAsia="微软雅黑" w:cs="微软雅黑"/>
                <w:szCs w:val="21"/>
                <w:highlight w:val="none"/>
              </w:rPr>
              <w:t>年后付10%。</w:t>
            </w:r>
          </w:p>
          <w:p w14:paraId="00B12D21">
            <w:pPr>
              <w:numPr>
                <w:ilvl w:val="0"/>
                <w:numId w:val="0"/>
              </w:numPr>
              <w:spacing w:line="380" w:lineRule="exact"/>
              <w:outlineLvl w:val="0"/>
              <w:rPr>
                <w:rFonts w:ascii="微软雅黑" w:hAnsi="微软雅黑" w:eastAsia="微软雅黑" w:cs="微软雅黑"/>
                <w:szCs w:val="21"/>
              </w:rPr>
            </w:pPr>
            <w:r>
              <w:rPr>
                <w:rFonts w:hint="eastAsia" w:ascii="微软雅黑" w:hAnsi="微软雅黑" w:eastAsia="微软雅黑" w:cs="微软雅黑"/>
                <w:strike w:val="0"/>
                <w:dstrike w:val="0"/>
                <w:szCs w:val="21"/>
                <w:highlight w:val="none"/>
                <w:u w:val="none"/>
              </w:rPr>
              <w:t>2.</w:t>
            </w:r>
            <w:r>
              <w:rPr>
                <w:rFonts w:hint="eastAsia" w:ascii="微软雅黑" w:hAnsi="微软雅黑" w:eastAsia="微软雅黑" w:cs="微软雅黑"/>
                <w:szCs w:val="21"/>
                <w:lang w:val="en-US" w:eastAsia="zh-CN"/>
              </w:rPr>
              <w:t>质保期内，</w:t>
            </w:r>
            <w:r>
              <w:rPr>
                <w:rFonts w:hint="eastAsia" w:ascii="微软雅黑" w:hAnsi="微软雅黑" w:eastAsia="微软雅黑" w:cs="微软雅黑"/>
                <w:szCs w:val="21"/>
              </w:rPr>
              <w:t>点位未发生变化的（850个），按中标价支付。如出现点位增加的，每增加1个点位，则增加</w:t>
            </w:r>
            <w:r>
              <w:rPr>
                <w:rFonts w:hint="eastAsia" w:ascii="微软雅黑" w:hAnsi="微软雅黑" w:eastAsia="微软雅黑" w:cs="微软雅黑"/>
              </w:rPr>
              <w:t>相应费用的</w:t>
            </w:r>
            <w:r>
              <w:rPr>
                <w:rFonts w:hint="eastAsia" w:ascii="微软雅黑" w:hAnsi="微软雅黑" w:eastAsia="微软雅黑" w:cs="微软雅黑"/>
                <w:szCs w:val="21"/>
              </w:rPr>
              <w:t>支付</w:t>
            </w:r>
            <w:r>
              <w:rPr>
                <w:rFonts w:hint="eastAsia" w:ascii="微软雅黑" w:hAnsi="微软雅黑" w:eastAsia="微软雅黑" w:cs="微软雅黑"/>
              </w:rPr>
              <w:t>，货款=中标价＋（中标价÷850</w:t>
            </w:r>
            <w:r>
              <w:rPr>
                <w:rFonts w:ascii="Arial" w:hAnsi="Arial" w:eastAsia="微软雅黑" w:cs="Arial"/>
              </w:rPr>
              <w:t>×</w:t>
            </w:r>
            <w:r>
              <w:rPr>
                <w:rFonts w:hint="eastAsia" w:ascii="Arial" w:hAnsi="Arial" w:eastAsia="微软雅黑" w:cs="Arial"/>
              </w:rPr>
              <w:t>实际增加点位数量</w:t>
            </w:r>
            <w:r>
              <w:rPr>
                <w:rFonts w:hint="eastAsia" w:ascii="微软雅黑" w:hAnsi="微软雅黑" w:eastAsia="微软雅黑" w:cs="微软雅黑"/>
              </w:rPr>
              <w:t>）。</w:t>
            </w:r>
          </w:p>
        </w:tc>
      </w:tr>
      <w:tr w14:paraId="450B4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0" w:hRule="atLeast"/>
        </w:trPr>
        <w:tc>
          <w:tcPr>
            <w:tcW w:w="1560" w:type="dxa"/>
            <w:tcBorders>
              <w:bottom w:val="single" w:color="auto" w:sz="4" w:space="0"/>
            </w:tcBorders>
            <w:vAlign w:val="center"/>
          </w:tcPr>
          <w:p w14:paraId="444F24AB">
            <w:pPr>
              <w:spacing w:line="380" w:lineRule="exact"/>
              <w:rPr>
                <w:rFonts w:ascii="微软雅黑" w:hAnsi="微软雅黑" w:eastAsia="微软雅黑" w:cs="微软雅黑"/>
                <w:bCs/>
                <w:kern w:val="0"/>
                <w:szCs w:val="21"/>
                <w:highlight w:val="yellow"/>
              </w:rPr>
            </w:pPr>
            <w:r>
              <w:rPr>
                <w:rFonts w:hint="eastAsia" w:ascii="微软雅黑" w:hAnsi="微软雅黑" w:eastAsia="微软雅黑" w:cs="微软雅黑"/>
                <w:bCs/>
                <w:kern w:val="0"/>
                <w:szCs w:val="21"/>
              </w:rPr>
              <w:t>履约要求</w:t>
            </w:r>
          </w:p>
        </w:tc>
        <w:tc>
          <w:tcPr>
            <w:tcW w:w="7938" w:type="dxa"/>
            <w:tcBorders>
              <w:bottom w:val="single" w:color="auto" w:sz="4" w:space="0"/>
            </w:tcBorders>
            <w:vAlign w:val="center"/>
          </w:tcPr>
          <w:p w14:paraId="5E961EE1">
            <w:pPr>
              <w:widowControl/>
              <w:numPr>
                <w:ilvl w:val="0"/>
                <w:numId w:val="6"/>
              </w:numPr>
              <w:spacing w:line="38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合同经双方签字生效后，双方必须严格遵守，除因不可抗力情形或出现采购人可单方面解除或终止合同的情形，任何一方不得单方面解除或终止合同，否则应向对方支付违约金</w:t>
            </w:r>
            <w:r>
              <w:rPr>
                <w:rFonts w:hint="eastAsia" w:ascii="微软雅黑" w:hAnsi="微软雅黑" w:eastAsia="微软雅黑" w:cs="微软雅黑"/>
                <w:kern w:val="0"/>
                <w:szCs w:val="21"/>
                <w:u w:val="single"/>
              </w:rPr>
              <w:t>10000</w:t>
            </w:r>
            <w:r>
              <w:rPr>
                <w:rFonts w:hint="eastAsia" w:ascii="微软雅黑" w:hAnsi="微软雅黑" w:eastAsia="微软雅黑" w:cs="微软雅黑"/>
                <w:kern w:val="0"/>
                <w:szCs w:val="21"/>
              </w:rPr>
              <w:t>元。</w:t>
            </w:r>
          </w:p>
          <w:p w14:paraId="5537469C">
            <w:pPr>
              <w:widowControl/>
              <w:numPr>
                <w:ilvl w:val="0"/>
                <w:numId w:val="6"/>
              </w:numPr>
              <w:spacing w:line="38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一方未遵守合同约定构成违约的，应当向守约方支付违约金</w:t>
            </w:r>
            <w:r>
              <w:rPr>
                <w:rFonts w:hint="eastAsia" w:ascii="微软雅黑" w:hAnsi="微软雅黑" w:eastAsia="微软雅黑" w:cs="微软雅黑"/>
                <w:kern w:val="0"/>
                <w:szCs w:val="21"/>
                <w:u w:val="single"/>
              </w:rPr>
              <w:t xml:space="preserve"> 10000</w:t>
            </w:r>
            <w:r>
              <w:rPr>
                <w:rFonts w:hint="eastAsia" w:ascii="微软雅黑" w:hAnsi="微软雅黑" w:eastAsia="微软雅黑" w:cs="微软雅黑"/>
                <w:kern w:val="0"/>
                <w:szCs w:val="21"/>
              </w:rPr>
              <w:t>元，并赔偿守约方因此产生的损失。</w:t>
            </w:r>
          </w:p>
          <w:p w14:paraId="594CD156">
            <w:pPr>
              <w:widowControl/>
              <w:numPr>
                <w:ilvl w:val="0"/>
                <w:numId w:val="6"/>
              </w:numPr>
              <w:spacing w:line="380" w:lineRule="exact"/>
              <w:jc w:val="left"/>
              <w:rPr>
                <w:rFonts w:hint="default" w:ascii="微软雅黑" w:hAnsi="微软雅黑" w:eastAsia="微软雅黑" w:cs="微软雅黑"/>
                <w:szCs w:val="21"/>
                <w:lang w:val="en-US" w:eastAsia="zh-CN"/>
              </w:rPr>
            </w:pPr>
            <w:r>
              <w:rPr>
                <w:rFonts w:hint="eastAsia" w:ascii="微软雅黑" w:hAnsi="微软雅黑" w:eastAsia="微软雅黑" w:cs="微软雅黑"/>
                <w:kern w:val="0"/>
                <w:szCs w:val="21"/>
              </w:rPr>
              <w:t xml:space="preserve">本合同不得转包，如有违反，采购人有权解除本合同，同时，中标人应向采购人承担合同总价款 </w:t>
            </w:r>
            <w:r>
              <w:rPr>
                <w:rFonts w:hint="eastAsia" w:ascii="微软雅黑" w:hAnsi="微软雅黑" w:eastAsia="微软雅黑" w:cs="微软雅黑"/>
                <w:kern w:val="0"/>
                <w:szCs w:val="21"/>
                <w:u w:val="single"/>
              </w:rPr>
              <w:t xml:space="preserve"> 5 %</w:t>
            </w:r>
            <w:r>
              <w:rPr>
                <w:rFonts w:hint="eastAsia" w:ascii="微软雅黑" w:hAnsi="微软雅黑" w:eastAsia="微软雅黑" w:cs="微软雅黑"/>
                <w:kern w:val="0"/>
                <w:szCs w:val="21"/>
              </w:rPr>
              <w:t>的违约金，给采购人造成损失的，还应赔偿采购人一切经济损失。</w:t>
            </w:r>
          </w:p>
        </w:tc>
      </w:tr>
      <w:tr w14:paraId="6BD08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89" w:hRule="atLeast"/>
        </w:trPr>
        <w:tc>
          <w:tcPr>
            <w:tcW w:w="1560" w:type="dxa"/>
            <w:tcBorders>
              <w:top w:val="single" w:color="auto" w:sz="4" w:space="0"/>
            </w:tcBorders>
            <w:vAlign w:val="center"/>
          </w:tcPr>
          <w:p w14:paraId="423352A7">
            <w:pPr>
              <w:spacing w:line="380" w:lineRule="exact"/>
              <w:rPr>
                <w:rFonts w:ascii="微软雅黑" w:hAnsi="微软雅黑" w:eastAsia="微软雅黑" w:cs="微软雅黑"/>
                <w:bCs/>
                <w:kern w:val="0"/>
                <w:szCs w:val="21"/>
              </w:rPr>
            </w:pPr>
            <w:bookmarkStart w:id="1" w:name="_Hlk197970115"/>
            <w:r>
              <w:rPr>
                <w:rFonts w:hint="eastAsia" w:ascii="微软雅黑" w:hAnsi="微软雅黑" w:eastAsia="微软雅黑" w:cs="微软雅黑"/>
                <w:bCs/>
                <w:kern w:val="0"/>
                <w:szCs w:val="21"/>
              </w:rPr>
              <w:t>验收要求</w:t>
            </w:r>
          </w:p>
        </w:tc>
        <w:tc>
          <w:tcPr>
            <w:tcW w:w="7938" w:type="dxa"/>
            <w:tcBorders>
              <w:top w:val="single" w:color="auto" w:sz="4" w:space="0"/>
            </w:tcBorders>
            <w:vAlign w:val="center"/>
          </w:tcPr>
          <w:p w14:paraId="6E367E50">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1. 功能验收</w:t>
            </w:r>
          </w:p>
          <w:p w14:paraId="1481E0BD">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设备合规性管理</w:t>
            </w:r>
          </w:p>
          <w:p w14:paraId="164EB03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检查终端是否强制安装安全客户端。</w:t>
            </w:r>
          </w:p>
          <w:p w14:paraId="150E18D4">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终端行为监控</w:t>
            </w:r>
          </w:p>
          <w:p w14:paraId="20581F9C">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检查是否监控敏感操作（如USB接入、非法外联、进程注入）。</w:t>
            </w:r>
          </w:p>
          <w:p w14:paraId="41C77051">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测试违规行为告警及阻断功能（如弹窗、日志记录）。</w:t>
            </w:r>
          </w:p>
          <w:p w14:paraId="669840E1">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数据防泄漏（DLP）</w:t>
            </w:r>
          </w:p>
          <w:p w14:paraId="31E27109">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验证敏感文件外发管控（如邮件附件、云盘上传）是否生效。</w:t>
            </w:r>
          </w:p>
          <w:p w14:paraId="2E1389F3">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测试加密策略（如全盘加密、文件级加密）。</w:t>
            </w:r>
          </w:p>
          <w:p w14:paraId="5ACE8D74">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远程管理能力</w:t>
            </w:r>
          </w:p>
          <w:p w14:paraId="784C36DB">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检查管理员能否远程下发策略、隔离设备或修复漏洞。</w:t>
            </w:r>
          </w:p>
          <w:p w14:paraId="0C246A6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2. 性能验收</w:t>
            </w:r>
          </w:p>
          <w:p w14:paraId="67054808">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资源占用</w:t>
            </w:r>
          </w:p>
          <w:p w14:paraId="6269D791">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监控客户端CPU、内存、磁盘占用率，确保不影响终端正常使用（如不超过10%资源占用）。</w:t>
            </w:r>
          </w:p>
          <w:p w14:paraId="2489CA9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并发处理能力</w:t>
            </w:r>
          </w:p>
          <w:p w14:paraId="54CA2EF5">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模拟大规模终端同时接入，测试系统是否延迟或崩溃。</w:t>
            </w:r>
          </w:p>
          <w:p w14:paraId="2EA7EFA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3. 安全验收</w:t>
            </w:r>
          </w:p>
          <w:p w14:paraId="603963F8">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日志审计</w:t>
            </w:r>
          </w:p>
          <w:p w14:paraId="4C2853B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验证日志记录完整性（如登录日志、病毒查杀记录），支持按时间、设备类型检索。</w:t>
            </w:r>
          </w:p>
          <w:p w14:paraId="43E7FF8A">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测试日志存储周期是否符合要求（如保留6个月以上）。</w:t>
            </w:r>
          </w:p>
          <w:p w14:paraId="37CF9DF9">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权限隔离</w:t>
            </w:r>
          </w:p>
          <w:p w14:paraId="7CCFACCB">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检查普通用户是否无法篡改策略或关闭防护功能。</w:t>
            </w:r>
          </w:p>
          <w:p w14:paraId="30E28950">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4. 策略验收</w:t>
            </w:r>
          </w:p>
          <w:p w14:paraId="41A5761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合规策略</w:t>
            </w:r>
          </w:p>
          <w:p w14:paraId="48500E1F">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验证策略是否覆盖所有终端类型（如PC、移动设备）。</w:t>
            </w:r>
          </w:p>
          <w:p w14:paraId="397C37B3">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测试策略生效条件（如工作时间、地理围栏）。</w:t>
            </w:r>
          </w:p>
          <w:p w14:paraId="2913725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例外管理</w:t>
            </w:r>
          </w:p>
          <w:p w14:paraId="260C3E21">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检查白名单机制是否有效（如允许特定进程或外接设备）。</w:t>
            </w:r>
          </w:p>
          <w:p w14:paraId="06611775">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5. 文档与培训</w:t>
            </w:r>
          </w:p>
          <w:p w14:paraId="6F6DD39F">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提供完整的系统配置文档、操作手册及故障处理指南。</w:t>
            </w:r>
          </w:p>
          <w:p w14:paraId="71146B4C">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确保管理员接受过系统配置、策略下发等培训。</w:t>
            </w:r>
          </w:p>
        </w:tc>
      </w:tr>
      <w:bookmarkEnd w:id="1"/>
      <w:tr w14:paraId="75311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trPr>
        <w:tc>
          <w:tcPr>
            <w:tcW w:w="1560" w:type="dxa"/>
            <w:vAlign w:val="center"/>
          </w:tcPr>
          <w:p w14:paraId="727C057B">
            <w:pPr>
              <w:spacing w:line="380" w:lineRule="exact"/>
              <w:rPr>
                <w:rFonts w:ascii="微软雅黑" w:hAnsi="微软雅黑" w:eastAsia="微软雅黑" w:cs="微软雅黑"/>
                <w:bCs/>
                <w:kern w:val="0"/>
                <w:szCs w:val="21"/>
              </w:rPr>
            </w:pPr>
            <w:r>
              <w:rPr>
                <w:rFonts w:hint="eastAsia" w:ascii="微软雅黑" w:hAnsi="微软雅黑" w:eastAsia="微软雅黑" w:cs="微软雅黑"/>
                <w:bCs/>
                <w:kern w:val="0"/>
                <w:szCs w:val="21"/>
              </w:rPr>
              <w:t>质量保证期</w:t>
            </w:r>
          </w:p>
        </w:tc>
        <w:tc>
          <w:tcPr>
            <w:tcW w:w="7938" w:type="dxa"/>
            <w:vAlign w:val="center"/>
          </w:tcPr>
          <w:p w14:paraId="08D2100B">
            <w:pPr>
              <w:spacing w:line="380" w:lineRule="exact"/>
              <w:rPr>
                <w:rFonts w:ascii="微软雅黑" w:hAnsi="微软雅黑" w:eastAsia="微软雅黑" w:cs="微软雅黑"/>
                <w:color w:val="FF0000"/>
                <w:szCs w:val="21"/>
              </w:rPr>
            </w:pPr>
            <w:r>
              <w:rPr>
                <w:rFonts w:hint="eastAsia" w:ascii="微软雅黑" w:hAnsi="微软雅黑" w:eastAsia="微软雅黑" w:cs="微软雅黑"/>
                <w:szCs w:val="21"/>
              </w:rPr>
              <w:t>1.质量保证期: 叁年（包括三年内新增的点位），质量保证期自验收合格起计算，免费维保三年</w:t>
            </w:r>
            <w:r>
              <w:rPr>
                <w:rFonts w:hint="eastAsia" w:ascii="微软雅黑" w:hAnsi="微软雅黑" w:eastAsia="微软雅黑" w:cs="微软雅黑"/>
                <w:strike w:val="0"/>
                <w:dstrike w:val="0"/>
                <w:szCs w:val="21"/>
                <w:lang w:eastAsia="zh-CN"/>
              </w:rPr>
              <w:t>，</w:t>
            </w:r>
            <w:r>
              <w:rPr>
                <w:rFonts w:hint="eastAsia" w:ascii="微软雅黑" w:hAnsi="微软雅黑" w:eastAsia="微软雅黑" w:cs="微软雅黑"/>
                <w:strike w:val="0"/>
                <w:dstrike w:val="0"/>
                <w:szCs w:val="21"/>
              </w:rPr>
              <w:t>维保期内免费系统升级。</w:t>
            </w:r>
          </w:p>
          <w:p w14:paraId="4F89D157">
            <w:pPr>
              <w:spacing w:line="380" w:lineRule="exact"/>
              <w:rPr>
                <w:rFonts w:ascii="微软雅黑" w:hAnsi="微软雅黑" w:eastAsia="微软雅黑" w:cs="微软雅黑"/>
                <w:szCs w:val="21"/>
                <w:highlight w:val="yellow"/>
              </w:rPr>
            </w:pPr>
            <w:r>
              <w:rPr>
                <w:rFonts w:hint="eastAsia" w:ascii="微软雅黑" w:hAnsi="微软雅黑" w:eastAsia="微软雅黑" w:cs="微软雅黑"/>
                <w:szCs w:val="21"/>
              </w:rPr>
              <w:t>2.质量保证期内，中标人对所供货物实行包换、包退，人为损坏等非质量问题除外。</w:t>
            </w:r>
          </w:p>
        </w:tc>
      </w:tr>
      <w:tr w14:paraId="323C0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7" w:hRule="atLeast"/>
        </w:trPr>
        <w:tc>
          <w:tcPr>
            <w:tcW w:w="1560" w:type="dxa"/>
            <w:shd w:val="clear" w:color="auto" w:fill="auto"/>
            <w:vAlign w:val="center"/>
          </w:tcPr>
          <w:p w14:paraId="777F2353">
            <w:pPr>
              <w:spacing w:line="380" w:lineRule="exact"/>
              <w:rPr>
                <w:rFonts w:ascii="微软雅黑" w:hAnsi="微软雅黑" w:eastAsia="微软雅黑" w:cs="微软雅黑"/>
                <w:bCs/>
                <w:kern w:val="0"/>
                <w:szCs w:val="21"/>
              </w:rPr>
            </w:pPr>
            <w:r>
              <w:rPr>
                <w:rFonts w:hint="eastAsia" w:ascii="微软雅黑" w:hAnsi="微软雅黑" w:eastAsia="微软雅黑" w:cs="微软雅黑"/>
                <w:bCs/>
                <w:kern w:val="0"/>
                <w:szCs w:val="21"/>
              </w:rPr>
              <w:t>履约保证金</w:t>
            </w:r>
          </w:p>
        </w:tc>
        <w:tc>
          <w:tcPr>
            <w:tcW w:w="7938" w:type="dxa"/>
            <w:shd w:val="clear" w:color="auto" w:fill="auto"/>
            <w:vAlign w:val="center"/>
          </w:tcPr>
          <w:p w14:paraId="0E8F5A3B">
            <w:pPr>
              <w:widowControl/>
              <w:spacing w:before="100" w:beforeAutospacing="1" w:after="100" w:afterAutospacing="1" w:line="380" w:lineRule="exact"/>
              <w:rPr>
                <w:rFonts w:ascii="微软雅黑" w:hAnsi="微软雅黑" w:eastAsia="微软雅黑" w:cs="微软雅黑"/>
                <w:kern w:val="0"/>
                <w:szCs w:val="21"/>
              </w:rPr>
            </w:pPr>
            <w:r>
              <w:rPr>
                <w:rFonts w:hint="eastAsia" w:ascii="微软雅黑" w:hAnsi="微软雅黑" w:eastAsia="微软雅黑" w:cs="微软雅黑"/>
                <w:kern w:val="0"/>
                <w:szCs w:val="21"/>
              </w:rPr>
              <w:t>本项目不收取</w:t>
            </w:r>
            <w:r>
              <w:rPr>
                <w:rFonts w:hint="eastAsia" w:ascii="微软雅黑" w:hAnsi="微软雅黑" w:eastAsia="微软雅黑" w:cs="微软雅黑"/>
                <w:bCs/>
                <w:kern w:val="0"/>
                <w:szCs w:val="21"/>
              </w:rPr>
              <w:t>履约保证金。</w:t>
            </w:r>
          </w:p>
        </w:tc>
      </w:tr>
    </w:tbl>
    <w:p w14:paraId="2C368683">
      <w:pPr>
        <w:topLinePunct/>
        <w:spacing w:line="380" w:lineRule="exact"/>
        <w:rPr>
          <w:rFonts w:ascii="微软雅黑" w:hAnsi="微软雅黑" w:eastAsia="微软雅黑" w:cs="微软雅黑"/>
          <w:szCs w:val="21"/>
        </w:rPr>
      </w:pPr>
      <w:r>
        <w:rPr>
          <w:rFonts w:hint="eastAsia" w:ascii="微软雅黑" w:hAnsi="微软雅黑" w:eastAsia="微软雅黑" w:cs="微软雅黑"/>
          <w:szCs w:val="21"/>
        </w:rPr>
        <w:t>◆对项目需求部分的询问、质疑请向采购人提出，询问、质疑由采购人负责解释。</w:t>
      </w:r>
    </w:p>
    <w:p w14:paraId="2D4D67F3">
      <w:pPr>
        <w:spacing w:line="380" w:lineRule="exact"/>
        <w:outlineLvl w:val="4"/>
        <w:rPr>
          <w:rFonts w:ascii="微软雅黑" w:hAnsi="微软雅黑" w:eastAsia="微软雅黑" w:cs="微软雅黑"/>
          <w:szCs w:val="21"/>
        </w:rPr>
      </w:pPr>
      <w:r>
        <w:rPr>
          <w:rFonts w:hint="eastAsia" w:ascii="微软雅黑" w:hAnsi="微软雅黑" w:eastAsia="微软雅黑" w:cs="微软雅黑"/>
          <w:szCs w:val="21"/>
        </w:rPr>
        <w:t>标注“</w:t>
      </w:r>
      <w:r>
        <w:rPr>
          <w:rFonts w:hint="eastAsia" w:ascii="微软雅黑" w:hAnsi="微软雅黑" w:eastAsia="微软雅黑" w:cs="微软雅黑"/>
          <w:szCs w:val="21"/>
          <w:lang w:val="zh-CN"/>
        </w:rPr>
        <w:t>★</w:t>
      </w:r>
      <w:r>
        <w:rPr>
          <w:rFonts w:hint="eastAsia" w:ascii="微软雅黑" w:hAnsi="微软雅黑" w:eastAsia="微软雅黑" w:cs="微软雅黑"/>
          <w:szCs w:val="21"/>
        </w:rPr>
        <w:t>”为实质性要求，必须响应，不允许负偏离，否则作为无效投标处理。</w:t>
      </w:r>
    </w:p>
    <w:p w14:paraId="4BCB0A3F">
      <w:pPr>
        <w:pStyle w:val="9"/>
        <w:numPr>
          <w:ilvl w:val="0"/>
          <w:numId w:val="7"/>
        </w:numPr>
        <w:rPr>
          <w:rFonts w:ascii="微软雅黑" w:hAnsi="微软雅黑" w:eastAsia="微软雅黑" w:cs="微软雅黑"/>
          <w:b/>
          <w:bCs/>
        </w:rPr>
      </w:pPr>
      <w:r>
        <w:rPr>
          <w:rFonts w:hint="eastAsia" w:ascii="微软雅黑" w:hAnsi="微软雅黑" w:eastAsia="微软雅黑" w:cs="微软雅黑"/>
          <w:b/>
          <w:bCs/>
        </w:rPr>
        <w:t>评审</w:t>
      </w:r>
    </w:p>
    <w:p w14:paraId="623EB6A2">
      <w:pPr>
        <w:pStyle w:val="66"/>
        <w:numPr>
          <w:ilvl w:val="0"/>
          <w:numId w:val="8"/>
        </w:numPr>
        <w:jc w:val="both"/>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评审方法</w:t>
      </w:r>
    </w:p>
    <w:p w14:paraId="3B684DB7">
      <w:pPr>
        <w:pStyle w:val="66"/>
        <w:ind w:firstLineChars="200"/>
        <w:jc w:val="both"/>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本项目采用综合评分法，评委会将对确定为实质性响应招标文件要求的投标文件进行评价和比较。评标结果按评审后得分由高到低顺序排列。得分相同的，按投标报价由低到高顺序排列。得分且投标报价相同的并列，进行二次报价，报价最低的为排名第一的中标候选人。</w:t>
      </w:r>
    </w:p>
    <w:p w14:paraId="7C18AC91">
      <w:pPr>
        <w:pStyle w:val="26"/>
        <w:spacing w:line="380" w:lineRule="exact"/>
        <w:ind w:firstLine="420"/>
        <w:rPr>
          <w:rFonts w:ascii="微软雅黑" w:hAnsi="微软雅黑" w:eastAsia="微软雅黑" w:cs="微软雅黑"/>
        </w:rPr>
      </w:pPr>
      <w:r>
        <w:rPr>
          <w:rFonts w:hint="eastAsia" w:ascii="微软雅黑" w:hAnsi="微软雅黑" w:eastAsia="微软雅黑" w:cs="微软雅黑"/>
          <w:szCs w:val="21"/>
        </w:rPr>
        <w:t>2）评审细则</w:t>
      </w:r>
    </w:p>
    <w:tbl>
      <w:tblPr>
        <w:tblStyle w:val="18"/>
        <w:tblW w:w="9642" w:type="dxa"/>
        <w:tblInd w:w="-601" w:type="dxa"/>
        <w:tblLayout w:type="fixed"/>
        <w:tblCellMar>
          <w:top w:w="0" w:type="dxa"/>
          <w:left w:w="108" w:type="dxa"/>
          <w:bottom w:w="0" w:type="dxa"/>
          <w:right w:w="108" w:type="dxa"/>
        </w:tblCellMar>
      </w:tblPr>
      <w:tblGrid>
        <w:gridCol w:w="1406"/>
        <w:gridCol w:w="808"/>
        <w:gridCol w:w="6580"/>
        <w:gridCol w:w="848"/>
      </w:tblGrid>
      <w:tr w14:paraId="526293B8">
        <w:tblPrEx>
          <w:tblCellMar>
            <w:top w:w="0" w:type="dxa"/>
            <w:left w:w="108" w:type="dxa"/>
            <w:bottom w:w="0" w:type="dxa"/>
            <w:right w:w="108" w:type="dxa"/>
          </w:tblCellMar>
        </w:tblPrEx>
        <w:trPr>
          <w:trHeight w:val="307" w:hRule="atLeast"/>
        </w:trPr>
        <w:tc>
          <w:tcPr>
            <w:tcW w:w="2214" w:type="dxa"/>
            <w:gridSpan w:val="2"/>
            <w:tcBorders>
              <w:top w:val="single" w:color="000000" w:sz="4" w:space="0"/>
              <w:left w:val="single" w:color="000000" w:sz="4" w:space="0"/>
              <w:bottom w:val="single" w:color="000000" w:sz="4" w:space="0"/>
              <w:right w:val="single" w:color="000000" w:sz="4" w:space="0"/>
            </w:tcBorders>
            <w:vAlign w:val="center"/>
          </w:tcPr>
          <w:p w14:paraId="78CE786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主要指标</w:t>
            </w:r>
          </w:p>
        </w:tc>
        <w:tc>
          <w:tcPr>
            <w:tcW w:w="6580" w:type="dxa"/>
            <w:tcBorders>
              <w:top w:val="single" w:color="000000" w:sz="4" w:space="0"/>
              <w:left w:val="single" w:color="000000" w:sz="4" w:space="0"/>
              <w:bottom w:val="single" w:color="000000" w:sz="4" w:space="0"/>
              <w:right w:val="single" w:color="000000" w:sz="4" w:space="0"/>
            </w:tcBorders>
            <w:vAlign w:val="center"/>
          </w:tcPr>
          <w:p w14:paraId="1C9F6D09">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评分标准</w:t>
            </w:r>
          </w:p>
        </w:tc>
        <w:tc>
          <w:tcPr>
            <w:tcW w:w="848" w:type="dxa"/>
            <w:tcBorders>
              <w:top w:val="single" w:color="000000" w:sz="4" w:space="0"/>
              <w:left w:val="single" w:color="000000" w:sz="4" w:space="0"/>
              <w:bottom w:val="single" w:color="000000" w:sz="4" w:space="0"/>
              <w:right w:val="single" w:color="000000" w:sz="4" w:space="0"/>
            </w:tcBorders>
            <w:vAlign w:val="center"/>
          </w:tcPr>
          <w:p w14:paraId="35ECA14B">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分值</w:t>
            </w:r>
          </w:p>
        </w:tc>
      </w:tr>
      <w:tr w14:paraId="77C6A6E7">
        <w:tblPrEx>
          <w:tblCellMar>
            <w:top w:w="0" w:type="dxa"/>
            <w:left w:w="108" w:type="dxa"/>
            <w:bottom w:w="0" w:type="dxa"/>
            <w:right w:w="108" w:type="dxa"/>
          </w:tblCellMar>
        </w:tblPrEx>
        <w:trPr>
          <w:trHeight w:val="1441" w:hRule="atLeast"/>
        </w:trPr>
        <w:tc>
          <w:tcPr>
            <w:tcW w:w="2214" w:type="dxa"/>
            <w:gridSpan w:val="2"/>
            <w:tcBorders>
              <w:top w:val="single" w:color="000000" w:sz="4" w:space="0"/>
              <w:left w:val="single" w:color="000000" w:sz="4" w:space="0"/>
              <w:bottom w:val="single" w:color="auto" w:sz="4" w:space="0"/>
              <w:right w:val="single" w:color="000000" w:sz="4" w:space="0"/>
            </w:tcBorders>
            <w:vAlign w:val="center"/>
          </w:tcPr>
          <w:p w14:paraId="782C3334">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一、投标报价</w:t>
            </w:r>
          </w:p>
        </w:tc>
        <w:tc>
          <w:tcPr>
            <w:tcW w:w="6580" w:type="dxa"/>
            <w:tcBorders>
              <w:top w:val="single" w:color="000000" w:sz="4" w:space="0"/>
              <w:left w:val="single" w:color="000000" w:sz="4" w:space="0"/>
              <w:bottom w:val="single" w:color="auto" w:sz="4" w:space="0"/>
              <w:right w:val="single" w:color="000000" w:sz="4" w:space="0"/>
            </w:tcBorders>
            <w:vAlign w:val="center"/>
          </w:tcPr>
          <w:p w14:paraId="1EB8FAF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满足招标文件要求且投标价格最低的投标报价为评定的基准价，其价格分为满分。其他投标人的价格分统一按照下列公式计算：报价得分=（评分基准价/投标报价）×25分。</w:t>
            </w:r>
          </w:p>
        </w:tc>
        <w:tc>
          <w:tcPr>
            <w:tcW w:w="848" w:type="dxa"/>
            <w:tcBorders>
              <w:top w:val="single" w:color="000000" w:sz="4" w:space="0"/>
              <w:left w:val="single" w:color="000000" w:sz="4" w:space="0"/>
              <w:bottom w:val="single" w:color="auto" w:sz="4" w:space="0"/>
              <w:right w:val="single" w:color="000000" w:sz="4" w:space="0"/>
            </w:tcBorders>
            <w:vAlign w:val="center"/>
          </w:tcPr>
          <w:p w14:paraId="2511D5A0">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25分</w:t>
            </w:r>
          </w:p>
        </w:tc>
      </w:tr>
      <w:tr w14:paraId="5E1F0A4E">
        <w:tblPrEx>
          <w:tblCellMar>
            <w:top w:w="0" w:type="dxa"/>
            <w:left w:w="108" w:type="dxa"/>
            <w:bottom w:w="0" w:type="dxa"/>
            <w:right w:w="108" w:type="dxa"/>
          </w:tblCellMar>
        </w:tblPrEx>
        <w:trPr>
          <w:trHeight w:val="382" w:hRule="atLeast"/>
        </w:trPr>
        <w:tc>
          <w:tcPr>
            <w:tcW w:w="2214" w:type="dxa"/>
            <w:gridSpan w:val="2"/>
            <w:tcBorders>
              <w:top w:val="single" w:color="auto" w:sz="4" w:space="0"/>
              <w:left w:val="single" w:color="000000" w:sz="4" w:space="0"/>
              <w:right w:val="single" w:color="000000" w:sz="4" w:space="0"/>
            </w:tcBorders>
            <w:vAlign w:val="center"/>
          </w:tcPr>
          <w:p w14:paraId="5149461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二、技术、商务、售后</w:t>
            </w:r>
          </w:p>
        </w:tc>
        <w:tc>
          <w:tcPr>
            <w:tcW w:w="6580" w:type="dxa"/>
            <w:tcBorders>
              <w:top w:val="single" w:color="auto" w:sz="4" w:space="0"/>
              <w:left w:val="single" w:color="000000" w:sz="4" w:space="0"/>
              <w:bottom w:val="single" w:color="000000" w:sz="4" w:space="0"/>
              <w:right w:val="single" w:color="000000" w:sz="4" w:space="0"/>
            </w:tcBorders>
            <w:vAlign w:val="center"/>
          </w:tcPr>
          <w:p w14:paraId="3F71DE6C">
            <w:pPr>
              <w:pStyle w:val="9"/>
              <w:rPr>
                <w:rFonts w:ascii="微软雅黑" w:hAnsi="微软雅黑" w:eastAsia="微软雅黑" w:cs="微软雅黑"/>
                <w:sz w:val="21"/>
                <w:szCs w:val="21"/>
              </w:rPr>
            </w:pPr>
          </w:p>
        </w:tc>
        <w:tc>
          <w:tcPr>
            <w:tcW w:w="848" w:type="dxa"/>
            <w:vMerge w:val="restart"/>
            <w:tcBorders>
              <w:top w:val="single" w:color="auto" w:sz="4" w:space="0"/>
              <w:left w:val="single" w:color="000000" w:sz="4" w:space="0"/>
              <w:right w:val="single" w:color="000000" w:sz="4" w:space="0"/>
            </w:tcBorders>
            <w:vAlign w:val="center"/>
          </w:tcPr>
          <w:p w14:paraId="7116099B">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75分</w:t>
            </w:r>
          </w:p>
        </w:tc>
      </w:tr>
      <w:tr w14:paraId="06459D72">
        <w:tblPrEx>
          <w:tblCellMar>
            <w:top w:w="0" w:type="dxa"/>
            <w:left w:w="108" w:type="dxa"/>
            <w:bottom w:w="0" w:type="dxa"/>
            <w:right w:w="108" w:type="dxa"/>
          </w:tblCellMar>
        </w:tblPrEx>
        <w:trPr>
          <w:trHeight w:val="307" w:hRule="atLeast"/>
        </w:trPr>
        <w:tc>
          <w:tcPr>
            <w:tcW w:w="1406" w:type="dxa"/>
            <w:vMerge w:val="restart"/>
            <w:tcBorders>
              <w:top w:val="single" w:color="000000" w:sz="4" w:space="0"/>
              <w:left w:val="single" w:color="000000" w:sz="4" w:space="0"/>
              <w:right w:val="single" w:color="000000" w:sz="4" w:space="0"/>
            </w:tcBorders>
            <w:vAlign w:val="center"/>
          </w:tcPr>
          <w:p w14:paraId="5C333430">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技术部分</w:t>
            </w: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14:paraId="451886D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详细技术要求部分</w:t>
            </w:r>
          </w:p>
        </w:tc>
        <w:tc>
          <w:tcPr>
            <w:tcW w:w="6580" w:type="dxa"/>
            <w:tcBorders>
              <w:top w:val="single" w:color="000000" w:sz="4" w:space="0"/>
              <w:left w:val="single" w:color="000000" w:sz="4" w:space="0"/>
              <w:bottom w:val="single" w:color="000000" w:sz="4" w:space="0"/>
              <w:right w:val="single" w:color="000000" w:sz="4" w:space="0"/>
            </w:tcBorders>
            <w:vAlign w:val="center"/>
          </w:tcPr>
          <w:p w14:paraId="02EE38CE">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详细技术要求响应情况：</w:t>
            </w:r>
          </w:p>
        </w:tc>
        <w:tc>
          <w:tcPr>
            <w:tcW w:w="848" w:type="dxa"/>
            <w:vMerge w:val="restart"/>
            <w:tcBorders>
              <w:top w:val="single" w:color="000000" w:sz="4" w:space="0"/>
              <w:left w:val="single" w:color="000000" w:sz="4" w:space="0"/>
              <w:bottom w:val="single" w:color="000000" w:sz="4" w:space="0"/>
              <w:right w:val="single" w:color="000000" w:sz="4" w:space="0"/>
            </w:tcBorders>
            <w:vAlign w:val="center"/>
          </w:tcPr>
          <w:p w14:paraId="374FDC5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30分</w:t>
            </w:r>
          </w:p>
        </w:tc>
      </w:tr>
      <w:tr w14:paraId="6AD8AE7B">
        <w:tblPrEx>
          <w:tblCellMar>
            <w:top w:w="0" w:type="dxa"/>
            <w:left w:w="108" w:type="dxa"/>
            <w:bottom w:w="0" w:type="dxa"/>
            <w:right w:w="108" w:type="dxa"/>
          </w:tblCellMar>
        </w:tblPrEx>
        <w:trPr>
          <w:trHeight w:val="411" w:hRule="atLeast"/>
        </w:trPr>
        <w:tc>
          <w:tcPr>
            <w:tcW w:w="1406" w:type="dxa"/>
            <w:vMerge w:val="continue"/>
            <w:tcBorders>
              <w:left w:val="single" w:color="000000" w:sz="4" w:space="0"/>
              <w:right w:val="single" w:color="000000" w:sz="4" w:space="0"/>
            </w:tcBorders>
            <w:vAlign w:val="center"/>
          </w:tcPr>
          <w:p w14:paraId="1ABE490D">
            <w:pPr>
              <w:pStyle w:val="9"/>
              <w:rPr>
                <w:rFonts w:ascii="微软雅黑" w:hAnsi="微软雅黑" w:eastAsia="微软雅黑" w:cs="微软雅黑"/>
                <w:sz w:val="21"/>
                <w:szCs w:val="21"/>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14:paraId="79854AEF">
            <w:pPr>
              <w:pStyle w:val="9"/>
              <w:rPr>
                <w:rFonts w:ascii="微软雅黑" w:hAnsi="微软雅黑" w:eastAsia="微软雅黑" w:cs="微软雅黑"/>
                <w:sz w:val="21"/>
                <w:szCs w:val="21"/>
              </w:rPr>
            </w:pPr>
          </w:p>
        </w:tc>
        <w:tc>
          <w:tcPr>
            <w:tcW w:w="6580" w:type="dxa"/>
            <w:tcBorders>
              <w:top w:val="single" w:color="000000" w:sz="4" w:space="0"/>
              <w:left w:val="single" w:color="000000" w:sz="4" w:space="0"/>
              <w:bottom w:val="single" w:color="000000" w:sz="4" w:space="0"/>
              <w:right w:val="single" w:color="000000" w:sz="4" w:space="0"/>
            </w:tcBorders>
            <w:vAlign w:val="center"/>
          </w:tcPr>
          <w:p w14:paraId="518A0AD6">
            <w:pPr>
              <w:rPr>
                <w:rFonts w:ascii="微软雅黑" w:hAnsi="微软雅黑" w:eastAsia="微软雅黑" w:cs="微软雅黑"/>
                <w:szCs w:val="21"/>
              </w:rPr>
            </w:pPr>
            <w:r>
              <w:rPr>
                <w:rFonts w:hint="eastAsia" w:ascii="微软雅黑" w:hAnsi="微软雅黑" w:eastAsia="微软雅黑" w:cs="微软雅黑"/>
                <w:szCs w:val="21"/>
              </w:rPr>
              <w:t>1、供应商所投产品技术参数完全满足磋商文件技术要求部分采购需求中所有技术参数得30分。</w:t>
            </w:r>
          </w:p>
          <w:p w14:paraId="2DB51606">
            <w:pPr>
              <w:rPr>
                <w:rFonts w:ascii="微软雅黑" w:hAnsi="微软雅黑" w:eastAsia="微软雅黑" w:cs="微软雅黑"/>
                <w:szCs w:val="21"/>
              </w:rPr>
            </w:pPr>
            <w:r>
              <w:rPr>
                <w:rFonts w:hint="eastAsia" w:ascii="微软雅黑" w:hAnsi="微软雅黑" w:eastAsia="微软雅黑" w:cs="微软雅黑"/>
                <w:szCs w:val="21"/>
              </w:rPr>
              <w:t>2、供应商所投产品技术参数要求中标有★功能项必须满足，未完全满足作无效响应文件处理。</w:t>
            </w:r>
          </w:p>
          <w:p w14:paraId="32E478EB">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3、供应商所投产品技术参数要求中标有▲功能项存在负偏离的，一项扣3分；技术要求中其他功能项存在负偏离的，扣1分；</w:t>
            </w:r>
          </w:p>
          <w:p w14:paraId="76F2502F">
            <w:pPr>
              <w:widowControl/>
              <w:jc w:val="left"/>
              <w:rPr>
                <w:rFonts w:ascii="微软雅黑" w:hAnsi="微软雅黑" w:eastAsia="微软雅黑" w:cs="微软雅黑"/>
                <w:szCs w:val="21"/>
              </w:rPr>
            </w:pPr>
            <w:r>
              <w:rPr>
                <w:rFonts w:hint="eastAsia" w:ascii="微软雅黑" w:hAnsi="微软雅黑" w:eastAsia="微软雅黑" w:cs="微软雅黑"/>
                <w:szCs w:val="21"/>
              </w:rPr>
              <w:t>（投标文件须按招标文件货物需求技术参数中的要求提供相关证明资料，未提供或未按要求提供证明材料的不予认可；</w:t>
            </w:r>
            <w:r>
              <w:rPr>
                <w:rFonts w:hint="eastAsia" w:ascii="微软雅黑" w:hAnsi="微软雅黑" w:eastAsia="微软雅黑" w:cs="微软雅黑"/>
                <w:color w:val="000000"/>
                <w:kern w:val="0"/>
                <w:sz w:val="20"/>
                <w:szCs w:val="20"/>
                <w:lang w:bidi="ar"/>
              </w:rPr>
              <w:t>中标人在合同签署前需对技术参数进行实际测试，如未通过实际测试而又在投标文件技术偏离表做无负偏离说明的，将取消其中标人资格。</w:t>
            </w:r>
            <w:r>
              <w:rPr>
                <w:rFonts w:hint="eastAsia" w:ascii="微软雅黑" w:hAnsi="微软雅黑" w:eastAsia="微软雅黑" w:cs="微软雅黑"/>
                <w:szCs w:val="21"/>
              </w:rPr>
              <w:t>）</w:t>
            </w:r>
          </w:p>
        </w:tc>
        <w:tc>
          <w:tcPr>
            <w:tcW w:w="848" w:type="dxa"/>
            <w:vMerge w:val="continue"/>
            <w:tcBorders>
              <w:top w:val="single" w:color="000000" w:sz="4" w:space="0"/>
              <w:left w:val="single" w:color="000000" w:sz="4" w:space="0"/>
              <w:bottom w:val="single" w:color="000000" w:sz="4" w:space="0"/>
              <w:right w:val="single" w:color="000000" w:sz="4" w:space="0"/>
            </w:tcBorders>
            <w:vAlign w:val="center"/>
          </w:tcPr>
          <w:p w14:paraId="0F29CAA4">
            <w:pPr>
              <w:pStyle w:val="9"/>
              <w:rPr>
                <w:rFonts w:ascii="微软雅黑" w:hAnsi="微软雅黑" w:eastAsia="微软雅黑" w:cs="微软雅黑"/>
                <w:sz w:val="21"/>
                <w:szCs w:val="21"/>
              </w:rPr>
            </w:pPr>
          </w:p>
        </w:tc>
      </w:tr>
      <w:tr w14:paraId="6CCE24CE">
        <w:tblPrEx>
          <w:tblCellMar>
            <w:top w:w="0" w:type="dxa"/>
            <w:left w:w="108" w:type="dxa"/>
            <w:bottom w:w="0" w:type="dxa"/>
            <w:right w:w="108" w:type="dxa"/>
          </w:tblCellMar>
        </w:tblPrEx>
        <w:trPr>
          <w:trHeight w:val="1227" w:hRule="atLeast"/>
        </w:trPr>
        <w:tc>
          <w:tcPr>
            <w:tcW w:w="1406" w:type="dxa"/>
            <w:vMerge w:val="continue"/>
            <w:tcBorders>
              <w:left w:val="single" w:color="000000" w:sz="4" w:space="0"/>
              <w:right w:val="single" w:color="000000" w:sz="4" w:space="0"/>
            </w:tcBorders>
            <w:vAlign w:val="center"/>
          </w:tcPr>
          <w:p w14:paraId="48E873B2">
            <w:pPr>
              <w:pStyle w:val="9"/>
              <w:rPr>
                <w:rFonts w:ascii="微软雅黑" w:hAnsi="微软雅黑" w:eastAsia="微软雅黑" w:cs="微软雅黑"/>
                <w:sz w:val="21"/>
                <w:szCs w:val="21"/>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23DCC200">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实施方案评价</w:t>
            </w:r>
          </w:p>
        </w:tc>
        <w:tc>
          <w:tcPr>
            <w:tcW w:w="6580" w:type="dxa"/>
            <w:tcBorders>
              <w:top w:val="single" w:color="000000" w:sz="4" w:space="0"/>
              <w:left w:val="single" w:color="000000" w:sz="4" w:space="0"/>
              <w:bottom w:val="single" w:color="000000" w:sz="4" w:space="0"/>
              <w:right w:val="single" w:color="000000" w:sz="4" w:space="0"/>
            </w:tcBorders>
            <w:vAlign w:val="center"/>
          </w:tcPr>
          <w:p w14:paraId="14BE8AC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供应商所提供技术方案项目组织实施方案的需具备科学性、合理性、规范性和可操作性等，具备有详细的项目</w:t>
            </w:r>
            <w:r>
              <w:rPr>
                <w:rFonts w:hint="default" w:ascii="Calibri" w:hAnsi="Calibri" w:eastAsia="微软雅黑" w:cs="Calibri"/>
                <w:sz w:val="21"/>
                <w:szCs w:val="21"/>
                <w:highlight w:val="none"/>
              </w:rPr>
              <w:t>①</w:t>
            </w:r>
            <w:r>
              <w:rPr>
                <w:rFonts w:hint="eastAsia" w:ascii="微软雅黑" w:hAnsi="微软雅黑" w:eastAsia="微软雅黑" w:cs="微软雅黑"/>
                <w:sz w:val="21"/>
                <w:szCs w:val="21"/>
                <w:highlight w:val="none"/>
              </w:rPr>
              <w:t>管理方案，</w:t>
            </w:r>
            <w:r>
              <w:rPr>
                <w:rFonts w:hint="default" w:ascii="Calibri" w:hAnsi="Calibri" w:eastAsia="微软雅黑" w:cs="Calibri"/>
                <w:sz w:val="21"/>
                <w:szCs w:val="21"/>
                <w:highlight w:val="none"/>
              </w:rPr>
              <w:t>②</w:t>
            </w:r>
            <w:r>
              <w:rPr>
                <w:rFonts w:hint="eastAsia" w:ascii="微软雅黑" w:hAnsi="微软雅黑" w:eastAsia="微软雅黑" w:cs="微软雅黑"/>
                <w:sz w:val="21"/>
                <w:szCs w:val="21"/>
                <w:highlight w:val="none"/>
              </w:rPr>
              <w:t>培训</w:t>
            </w:r>
            <w:r>
              <w:rPr>
                <w:rFonts w:hint="eastAsia" w:ascii="微软雅黑" w:hAnsi="微软雅黑" w:eastAsia="微软雅黑" w:cs="微软雅黑"/>
                <w:sz w:val="21"/>
                <w:szCs w:val="21"/>
                <w:highlight w:val="none"/>
                <w:lang w:val="en-US" w:eastAsia="zh-CN"/>
              </w:rPr>
              <w:t>方案</w:t>
            </w:r>
            <w:r>
              <w:rPr>
                <w:rFonts w:hint="eastAsia" w:ascii="微软雅黑" w:hAnsi="微软雅黑" w:eastAsia="微软雅黑" w:cs="微软雅黑"/>
                <w:sz w:val="21"/>
                <w:szCs w:val="21"/>
                <w:highlight w:val="none"/>
              </w:rPr>
              <w:t>、</w:t>
            </w:r>
            <w:r>
              <w:rPr>
                <w:rFonts w:hint="default" w:ascii="Calibri" w:hAnsi="Calibri" w:eastAsia="微软雅黑" w:cs="Calibri"/>
                <w:sz w:val="21"/>
                <w:szCs w:val="21"/>
                <w:highlight w:val="none"/>
              </w:rPr>
              <w:t>③</w:t>
            </w:r>
            <w:r>
              <w:rPr>
                <w:rFonts w:hint="eastAsia" w:ascii="微软雅黑" w:hAnsi="微软雅黑" w:eastAsia="微软雅黑" w:cs="微软雅黑"/>
                <w:sz w:val="21"/>
                <w:szCs w:val="21"/>
                <w:highlight w:val="none"/>
              </w:rPr>
              <w:t>应急</w:t>
            </w:r>
            <w:r>
              <w:rPr>
                <w:rFonts w:hint="eastAsia" w:ascii="微软雅黑" w:hAnsi="微软雅黑" w:eastAsia="微软雅黑" w:cs="微软雅黑"/>
                <w:sz w:val="21"/>
                <w:szCs w:val="21"/>
                <w:highlight w:val="none"/>
                <w:lang w:val="en-US" w:eastAsia="zh-CN"/>
              </w:rPr>
              <w:t>预案</w:t>
            </w:r>
            <w:r>
              <w:rPr>
                <w:rFonts w:hint="eastAsia" w:ascii="微软雅黑" w:hAnsi="微软雅黑" w:eastAsia="微软雅黑" w:cs="微软雅黑"/>
                <w:sz w:val="21"/>
                <w:szCs w:val="21"/>
                <w:highlight w:val="none"/>
              </w:rPr>
              <w:t>等方案。根据</w:t>
            </w:r>
            <w:r>
              <w:rPr>
                <w:rFonts w:hint="eastAsia" w:ascii="微软雅黑" w:hAnsi="微软雅黑" w:eastAsia="微软雅黑" w:cs="微软雅黑"/>
                <w:sz w:val="21"/>
                <w:szCs w:val="21"/>
                <w:highlight w:val="none"/>
                <w:lang w:val="en-US" w:eastAsia="zh-CN"/>
              </w:rPr>
              <w:t>投标人</w:t>
            </w:r>
            <w:r>
              <w:rPr>
                <w:rFonts w:hint="eastAsia" w:ascii="微软雅黑" w:hAnsi="微软雅黑" w:eastAsia="微软雅黑" w:cs="微软雅黑"/>
                <w:sz w:val="21"/>
                <w:szCs w:val="21"/>
                <w:highlight w:val="none"/>
              </w:rPr>
              <w:t>所提供的方案进行打分，</w:t>
            </w:r>
            <w:r>
              <w:rPr>
                <w:rFonts w:hint="eastAsia" w:ascii="微软雅黑" w:hAnsi="微软雅黑" w:eastAsia="微软雅黑" w:cs="微软雅黑"/>
                <w:sz w:val="21"/>
                <w:szCs w:val="21"/>
                <w:highlight w:val="none"/>
                <w:lang w:val="en-US" w:eastAsia="zh-CN"/>
              </w:rPr>
              <w:t>满足一项得5分，最高得15分，一项不满足不得分</w:t>
            </w:r>
            <w:r>
              <w:rPr>
                <w:rFonts w:hint="eastAsia" w:ascii="微软雅黑" w:hAnsi="微软雅黑" w:eastAsia="微软雅黑" w:cs="微软雅黑"/>
                <w:sz w:val="21"/>
                <w:szCs w:val="21"/>
                <w:highlight w:val="none"/>
              </w:rPr>
              <w:t>。</w:t>
            </w:r>
          </w:p>
        </w:tc>
        <w:tc>
          <w:tcPr>
            <w:tcW w:w="848" w:type="dxa"/>
            <w:tcBorders>
              <w:top w:val="single" w:color="000000" w:sz="4" w:space="0"/>
              <w:left w:val="single" w:color="000000" w:sz="4" w:space="0"/>
              <w:bottom w:val="single" w:color="000000" w:sz="4" w:space="0"/>
              <w:right w:val="single" w:color="000000" w:sz="4" w:space="0"/>
            </w:tcBorders>
            <w:vAlign w:val="center"/>
          </w:tcPr>
          <w:p w14:paraId="2BD064A4">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15分</w:t>
            </w:r>
          </w:p>
        </w:tc>
      </w:tr>
      <w:tr w14:paraId="0D65330C">
        <w:tblPrEx>
          <w:tblCellMar>
            <w:top w:w="0" w:type="dxa"/>
            <w:left w:w="108" w:type="dxa"/>
            <w:bottom w:w="0" w:type="dxa"/>
            <w:right w:w="108" w:type="dxa"/>
          </w:tblCellMar>
        </w:tblPrEx>
        <w:trPr>
          <w:trHeight w:val="613" w:hRule="atLeast"/>
        </w:trPr>
        <w:tc>
          <w:tcPr>
            <w:tcW w:w="1406" w:type="dxa"/>
            <w:vMerge w:val="restart"/>
            <w:tcBorders>
              <w:top w:val="single" w:color="000000" w:sz="4" w:space="0"/>
              <w:left w:val="single" w:color="000000" w:sz="4" w:space="0"/>
              <w:bottom w:val="single" w:color="000000" w:sz="4" w:space="0"/>
              <w:right w:val="single" w:color="000000" w:sz="4" w:space="0"/>
            </w:tcBorders>
            <w:vAlign w:val="center"/>
          </w:tcPr>
          <w:p w14:paraId="56FD31E9">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商务部分</w:t>
            </w:r>
          </w:p>
        </w:tc>
        <w:tc>
          <w:tcPr>
            <w:tcW w:w="808" w:type="dxa"/>
            <w:vMerge w:val="restart"/>
            <w:tcBorders>
              <w:top w:val="single" w:color="000000" w:sz="4" w:space="0"/>
              <w:left w:val="single" w:color="000000" w:sz="4" w:space="0"/>
              <w:right w:val="single" w:color="000000" w:sz="4" w:space="0"/>
            </w:tcBorders>
            <w:vAlign w:val="center"/>
          </w:tcPr>
          <w:p w14:paraId="38EC1C9C">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企业能力</w:t>
            </w:r>
          </w:p>
        </w:tc>
        <w:tc>
          <w:tcPr>
            <w:tcW w:w="6580" w:type="dxa"/>
            <w:tcBorders>
              <w:top w:val="single" w:color="000000" w:sz="4" w:space="0"/>
              <w:left w:val="single" w:color="000000" w:sz="4" w:space="0"/>
              <w:bottom w:val="single" w:color="000000" w:sz="4" w:space="0"/>
              <w:right w:val="single" w:color="000000" w:sz="4" w:space="0"/>
            </w:tcBorders>
            <w:vAlign w:val="center"/>
          </w:tcPr>
          <w:p w14:paraId="626C04D9">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1、产品制造商自 2023年 1 月 1 日以来承接三级甲等医院使用客户得1分，无使用客户不得分，同一业绩不可重复得分，本项最多得3分。（提供产品中标链接、中标截图、合同复印件，合同甲方为医院用户，乙方为产品制造商）</w:t>
            </w:r>
          </w:p>
        </w:tc>
        <w:tc>
          <w:tcPr>
            <w:tcW w:w="848" w:type="dxa"/>
            <w:vMerge w:val="restart"/>
            <w:tcBorders>
              <w:top w:val="single" w:color="000000" w:sz="4" w:space="0"/>
              <w:left w:val="single" w:color="000000" w:sz="4" w:space="0"/>
              <w:right w:val="single" w:color="000000" w:sz="4" w:space="0"/>
            </w:tcBorders>
            <w:vAlign w:val="center"/>
          </w:tcPr>
          <w:p w14:paraId="3EA31A2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15分</w:t>
            </w:r>
          </w:p>
        </w:tc>
      </w:tr>
      <w:tr w14:paraId="4D2AA334">
        <w:tblPrEx>
          <w:tblCellMar>
            <w:top w:w="0" w:type="dxa"/>
            <w:left w:w="108" w:type="dxa"/>
            <w:bottom w:w="0" w:type="dxa"/>
            <w:right w:w="108" w:type="dxa"/>
          </w:tblCellMar>
        </w:tblPrEx>
        <w:trPr>
          <w:trHeight w:val="613" w:hRule="atLeast"/>
        </w:trPr>
        <w:tc>
          <w:tcPr>
            <w:tcW w:w="1406" w:type="dxa"/>
            <w:vMerge w:val="continue"/>
            <w:tcBorders>
              <w:top w:val="single" w:color="000000" w:sz="4" w:space="0"/>
              <w:left w:val="single" w:color="000000" w:sz="4" w:space="0"/>
              <w:bottom w:val="single" w:color="000000" w:sz="4" w:space="0"/>
              <w:right w:val="single" w:color="000000" w:sz="4" w:space="0"/>
            </w:tcBorders>
            <w:vAlign w:val="center"/>
          </w:tcPr>
          <w:p w14:paraId="3E25877C">
            <w:pPr>
              <w:pStyle w:val="9"/>
              <w:rPr>
                <w:rFonts w:ascii="微软雅黑" w:hAnsi="微软雅黑" w:eastAsia="微软雅黑" w:cs="微软雅黑"/>
                <w:sz w:val="21"/>
                <w:szCs w:val="21"/>
              </w:rPr>
            </w:pPr>
          </w:p>
        </w:tc>
        <w:tc>
          <w:tcPr>
            <w:tcW w:w="808" w:type="dxa"/>
            <w:vMerge w:val="continue"/>
            <w:tcBorders>
              <w:left w:val="single" w:color="000000" w:sz="4" w:space="0"/>
              <w:right w:val="single" w:color="000000" w:sz="4" w:space="0"/>
            </w:tcBorders>
            <w:vAlign w:val="center"/>
          </w:tcPr>
          <w:p w14:paraId="1E76614D">
            <w:pPr>
              <w:pStyle w:val="9"/>
              <w:rPr>
                <w:rFonts w:ascii="微软雅黑" w:hAnsi="微软雅黑" w:eastAsia="微软雅黑" w:cs="微软雅黑"/>
                <w:sz w:val="21"/>
                <w:szCs w:val="21"/>
              </w:rPr>
            </w:pPr>
          </w:p>
        </w:tc>
        <w:tc>
          <w:tcPr>
            <w:tcW w:w="6580" w:type="dxa"/>
            <w:tcBorders>
              <w:top w:val="single" w:color="000000" w:sz="4" w:space="0"/>
              <w:left w:val="single" w:color="000000" w:sz="4" w:space="0"/>
              <w:bottom w:val="single" w:color="000000" w:sz="4" w:space="0"/>
              <w:right w:val="single" w:color="000000" w:sz="4" w:space="0"/>
            </w:tcBorders>
            <w:vAlign w:val="center"/>
          </w:tcPr>
          <w:p w14:paraId="63ACA06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2、投标终端安全管理产品及网络准入控制产品具有省级（包含直辖市）信创主管部门发布的终端安全管理产品及网络准入控制产品的信创适配报告得2分，有缺少不得分。</w:t>
            </w:r>
          </w:p>
        </w:tc>
        <w:tc>
          <w:tcPr>
            <w:tcW w:w="848" w:type="dxa"/>
            <w:vMerge w:val="continue"/>
            <w:tcBorders>
              <w:left w:val="single" w:color="000000" w:sz="4" w:space="0"/>
              <w:right w:val="single" w:color="000000" w:sz="4" w:space="0"/>
            </w:tcBorders>
            <w:vAlign w:val="center"/>
          </w:tcPr>
          <w:p w14:paraId="1895319B">
            <w:pPr>
              <w:pStyle w:val="9"/>
              <w:rPr>
                <w:rFonts w:ascii="微软雅黑" w:hAnsi="微软雅黑" w:eastAsia="微软雅黑" w:cs="微软雅黑"/>
                <w:sz w:val="21"/>
                <w:szCs w:val="21"/>
              </w:rPr>
            </w:pPr>
          </w:p>
        </w:tc>
      </w:tr>
      <w:tr w14:paraId="6AE88A6F">
        <w:tblPrEx>
          <w:tblCellMar>
            <w:top w:w="0" w:type="dxa"/>
            <w:left w:w="108" w:type="dxa"/>
            <w:bottom w:w="0" w:type="dxa"/>
            <w:right w:w="108" w:type="dxa"/>
          </w:tblCellMar>
        </w:tblPrEx>
        <w:trPr>
          <w:trHeight w:val="450" w:hRule="atLeast"/>
        </w:trPr>
        <w:tc>
          <w:tcPr>
            <w:tcW w:w="1406" w:type="dxa"/>
            <w:vMerge w:val="continue"/>
            <w:tcBorders>
              <w:top w:val="single" w:color="000000" w:sz="4" w:space="0"/>
              <w:left w:val="single" w:color="000000" w:sz="4" w:space="0"/>
              <w:bottom w:val="single" w:color="000000" w:sz="4" w:space="0"/>
              <w:right w:val="single" w:color="000000" w:sz="4" w:space="0"/>
            </w:tcBorders>
            <w:vAlign w:val="center"/>
          </w:tcPr>
          <w:p w14:paraId="3980A4AB">
            <w:pPr>
              <w:pStyle w:val="9"/>
              <w:rPr>
                <w:rFonts w:ascii="微软雅黑" w:hAnsi="微软雅黑" w:eastAsia="微软雅黑" w:cs="微软雅黑"/>
                <w:sz w:val="21"/>
                <w:szCs w:val="21"/>
              </w:rPr>
            </w:pPr>
          </w:p>
        </w:tc>
        <w:tc>
          <w:tcPr>
            <w:tcW w:w="808" w:type="dxa"/>
            <w:vMerge w:val="continue"/>
            <w:tcBorders>
              <w:left w:val="single" w:color="000000" w:sz="4" w:space="0"/>
              <w:right w:val="single" w:color="000000" w:sz="4" w:space="0"/>
            </w:tcBorders>
            <w:vAlign w:val="center"/>
          </w:tcPr>
          <w:p w14:paraId="5710C961">
            <w:pPr>
              <w:pStyle w:val="9"/>
              <w:rPr>
                <w:rFonts w:ascii="微软雅黑" w:hAnsi="微软雅黑" w:eastAsia="微软雅黑" w:cs="微软雅黑"/>
                <w:sz w:val="21"/>
                <w:szCs w:val="21"/>
              </w:rPr>
            </w:pPr>
          </w:p>
        </w:tc>
        <w:tc>
          <w:tcPr>
            <w:tcW w:w="6580" w:type="dxa"/>
            <w:tcBorders>
              <w:top w:val="single" w:color="000000" w:sz="4" w:space="0"/>
              <w:left w:val="single" w:color="000000" w:sz="4" w:space="0"/>
              <w:bottom w:val="single" w:color="000000" w:sz="4" w:space="0"/>
              <w:right w:val="single" w:color="000000" w:sz="4" w:space="0"/>
            </w:tcBorders>
            <w:vAlign w:val="center"/>
          </w:tcPr>
          <w:p w14:paraId="2D1CFC00">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3、投标终端安全管理产品及网络准入控制产品具有公安部计算机信息系统安全产品质量监督检验中心</w:t>
            </w:r>
            <w:r>
              <w:rPr>
                <w:rFonts w:hint="eastAsia" w:ascii="微软雅黑" w:hAnsi="微软雅黑" w:eastAsia="微软雅黑" w:cs="微软雅黑"/>
                <w:bCs/>
                <w:sz w:val="21"/>
                <w:szCs w:val="21"/>
              </w:rPr>
              <w:t>颁发的网络安全专用产品安全检测证书</w:t>
            </w:r>
            <w:r>
              <w:rPr>
                <w:rFonts w:hint="eastAsia" w:ascii="微软雅黑" w:hAnsi="微软雅黑" w:eastAsia="微软雅黑" w:cs="微软雅黑"/>
                <w:sz w:val="21"/>
                <w:szCs w:val="21"/>
              </w:rPr>
              <w:t>得3分，有缺少不得分</w:t>
            </w:r>
            <w:r>
              <w:rPr>
                <w:rFonts w:hint="eastAsia" w:ascii="微软雅黑" w:hAnsi="微软雅黑" w:eastAsia="微软雅黑" w:cs="微软雅黑"/>
                <w:bCs/>
                <w:sz w:val="21"/>
                <w:szCs w:val="21"/>
              </w:rPr>
              <w:t>；（</w:t>
            </w:r>
            <w:r>
              <w:rPr>
                <w:rFonts w:hint="eastAsia" w:ascii="微软雅黑" w:hAnsi="微软雅黑" w:eastAsia="微软雅黑" w:cs="微软雅黑"/>
                <w:sz w:val="21"/>
                <w:szCs w:val="21"/>
              </w:rPr>
              <w:t>终端安全管理产品</w:t>
            </w:r>
            <w:r>
              <w:rPr>
                <w:rFonts w:hint="eastAsia" w:ascii="微软雅黑" w:hAnsi="微软雅黑" w:eastAsia="微软雅黑" w:cs="微软雅黑"/>
                <w:bCs/>
                <w:sz w:val="21"/>
                <w:szCs w:val="21"/>
              </w:rPr>
              <w:t>证书为增强级，</w:t>
            </w:r>
            <w:r>
              <w:rPr>
                <w:rFonts w:hint="eastAsia" w:ascii="微软雅黑" w:hAnsi="微软雅黑" w:eastAsia="微软雅黑" w:cs="微软雅黑"/>
                <w:sz w:val="21"/>
                <w:szCs w:val="21"/>
              </w:rPr>
              <w:t>网络准入控制产品证书为三级</w:t>
            </w:r>
            <w:r>
              <w:rPr>
                <w:rFonts w:hint="eastAsia" w:ascii="微软雅黑" w:hAnsi="微软雅黑" w:eastAsia="微软雅黑" w:cs="微软雅黑"/>
                <w:bCs/>
                <w:sz w:val="21"/>
                <w:szCs w:val="21"/>
              </w:rPr>
              <w:t>）</w:t>
            </w:r>
          </w:p>
        </w:tc>
        <w:tc>
          <w:tcPr>
            <w:tcW w:w="848" w:type="dxa"/>
            <w:vMerge w:val="continue"/>
            <w:tcBorders>
              <w:left w:val="single" w:color="000000" w:sz="4" w:space="0"/>
              <w:right w:val="single" w:color="000000" w:sz="4" w:space="0"/>
            </w:tcBorders>
            <w:vAlign w:val="center"/>
          </w:tcPr>
          <w:p w14:paraId="4356566D">
            <w:pPr>
              <w:pStyle w:val="9"/>
              <w:rPr>
                <w:rFonts w:ascii="微软雅黑" w:hAnsi="微软雅黑" w:eastAsia="微软雅黑" w:cs="微软雅黑"/>
                <w:sz w:val="21"/>
                <w:szCs w:val="21"/>
              </w:rPr>
            </w:pPr>
          </w:p>
        </w:tc>
      </w:tr>
      <w:tr w14:paraId="07326A77">
        <w:tblPrEx>
          <w:tblCellMar>
            <w:top w:w="0" w:type="dxa"/>
            <w:left w:w="108" w:type="dxa"/>
            <w:bottom w:w="0" w:type="dxa"/>
            <w:right w:w="108" w:type="dxa"/>
          </w:tblCellMar>
        </w:tblPrEx>
        <w:trPr>
          <w:trHeight w:val="613" w:hRule="atLeast"/>
        </w:trPr>
        <w:tc>
          <w:tcPr>
            <w:tcW w:w="1406" w:type="dxa"/>
            <w:vMerge w:val="continue"/>
            <w:tcBorders>
              <w:top w:val="single" w:color="000000" w:sz="4" w:space="0"/>
              <w:left w:val="single" w:color="000000" w:sz="4" w:space="0"/>
              <w:bottom w:val="single" w:color="000000" w:sz="4" w:space="0"/>
              <w:right w:val="single" w:color="000000" w:sz="4" w:space="0"/>
            </w:tcBorders>
            <w:vAlign w:val="center"/>
          </w:tcPr>
          <w:p w14:paraId="7737BFF4">
            <w:pPr>
              <w:pStyle w:val="9"/>
              <w:rPr>
                <w:rFonts w:ascii="微软雅黑" w:hAnsi="微软雅黑" w:eastAsia="微软雅黑" w:cs="微软雅黑"/>
                <w:sz w:val="21"/>
                <w:szCs w:val="21"/>
              </w:rPr>
            </w:pPr>
          </w:p>
        </w:tc>
        <w:tc>
          <w:tcPr>
            <w:tcW w:w="808" w:type="dxa"/>
            <w:vMerge w:val="continue"/>
            <w:tcBorders>
              <w:left w:val="single" w:color="000000" w:sz="4" w:space="0"/>
              <w:right w:val="single" w:color="000000" w:sz="4" w:space="0"/>
            </w:tcBorders>
            <w:vAlign w:val="center"/>
          </w:tcPr>
          <w:p w14:paraId="7DA7DBA8">
            <w:pPr>
              <w:pStyle w:val="9"/>
              <w:rPr>
                <w:rFonts w:ascii="微软雅黑" w:hAnsi="微软雅黑" w:eastAsia="微软雅黑" w:cs="微软雅黑"/>
                <w:sz w:val="21"/>
                <w:szCs w:val="21"/>
              </w:rPr>
            </w:pPr>
          </w:p>
        </w:tc>
        <w:tc>
          <w:tcPr>
            <w:tcW w:w="6580" w:type="dxa"/>
            <w:tcBorders>
              <w:top w:val="single" w:color="000000" w:sz="4" w:space="0"/>
              <w:left w:val="single" w:color="000000" w:sz="4" w:space="0"/>
              <w:bottom w:val="single" w:color="000000" w:sz="4" w:space="0"/>
              <w:right w:val="single" w:color="000000" w:sz="4" w:space="0"/>
            </w:tcBorders>
            <w:vAlign w:val="center"/>
          </w:tcPr>
          <w:p w14:paraId="598EF82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4、产品制造商投标网络准入控制产品具有CCC证书（1分）</w:t>
            </w:r>
          </w:p>
        </w:tc>
        <w:tc>
          <w:tcPr>
            <w:tcW w:w="848" w:type="dxa"/>
            <w:vMerge w:val="continue"/>
            <w:tcBorders>
              <w:left w:val="single" w:color="000000" w:sz="4" w:space="0"/>
              <w:right w:val="single" w:color="000000" w:sz="4" w:space="0"/>
            </w:tcBorders>
            <w:vAlign w:val="center"/>
          </w:tcPr>
          <w:p w14:paraId="61737656">
            <w:pPr>
              <w:pStyle w:val="9"/>
              <w:rPr>
                <w:rFonts w:ascii="微软雅黑" w:hAnsi="微软雅黑" w:eastAsia="微软雅黑" w:cs="微软雅黑"/>
                <w:sz w:val="21"/>
                <w:szCs w:val="21"/>
              </w:rPr>
            </w:pPr>
          </w:p>
        </w:tc>
      </w:tr>
      <w:tr w14:paraId="2A959E81">
        <w:tblPrEx>
          <w:tblCellMar>
            <w:top w:w="0" w:type="dxa"/>
            <w:left w:w="108" w:type="dxa"/>
            <w:bottom w:w="0" w:type="dxa"/>
            <w:right w:w="108" w:type="dxa"/>
          </w:tblCellMar>
        </w:tblPrEx>
        <w:trPr>
          <w:trHeight w:val="1146" w:hRule="atLeast"/>
        </w:trPr>
        <w:tc>
          <w:tcPr>
            <w:tcW w:w="1406" w:type="dxa"/>
            <w:vMerge w:val="continue"/>
            <w:tcBorders>
              <w:top w:val="single" w:color="000000" w:sz="4" w:space="0"/>
              <w:left w:val="single" w:color="000000" w:sz="4" w:space="0"/>
              <w:bottom w:val="single" w:color="000000" w:sz="4" w:space="0"/>
              <w:right w:val="single" w:color="000000" w:sz="4" w:space="0"/>
            </w:tcBorders>
            <w:vAlign w:val="center"/>
          </w:tcPr>
          <w:p w14:paraId="2E86C20F">
            <w:pPr>
              <w:pStyle w:val="9"/>
              <w:rPr>
                <w:rFonts w:ascii="微软雅黑" w:hAnsi="微软雅黑" w:eastAsia="微软雅黑" w:cs="微软雅黑"/>
                <w:sz w:val="21"/>
                <w:szCs w:val="21"/>
              </w:rPr>
            </w:pPr>
          </w:p>
        </w:tc>
        <w:tc>
          <w:tcPr>
            <w:tcW w:w="808" w:type="dxa"/>
            <w:vMerge w:val="continue"/>
            <w:tcBorders>
              <w:left w:val="single" w:color="000000" w:sz="4" w:space="0"/>
              <w:bottom w:val="single" w:color="000000" w:sz="4" w:space="0"/>
              <w:right w:val="single" w:color="000000" w:sz="4" w:space="0"/>
            </w:tcBorders>
            <w:vAlign w:val="center"/>
          </w:tcPr>
          <w:p w14:paraId="5F6E6F40">
            <w:pPr>
              <w:pStyle w:val="9"/>
              <w:rPr>
                <w:rFonts w:ascii="微软雅黑" w:hAnsi="微软雅黑" w:eastAsia="微软雅黑" w:cs="微软雅黑"/>
                <w:sz w:val="21"/>
                <w:szCs w:val="21"/>
              </w:rPr>
            </w:pPr>
          </w:p>
        </w:tc>
        <w:tc>
          <w:tcPr>
            <w:tcW w:w="6580" w:type="dxa"/>
            <w:tcBorders>
              <w:top w:val="single" w:color="000000" w:sz="4" w:space="0"/>
              <w:left w:val="single" w:color="000000" w:sz="4" w:space="0"/>
              <w:bottom w:val="single" w:color="000000" w:sz="4" w:space="0"/>
              <w:right w:val="single" w:color="000000" w:sz="4" w:space="0"/>
            </w:tcBorders>
            <w:vAlign w:val="center"/>
          </w:tcPr>
          <w:p w14:paraId="6F756B63">
            <w:pPr>
              <w:rPr>
                <w:rFonts w:hint="eastAsia" w:ascii="微软雅黑" w:hAnsi="微软雅黑" w:eastAsia="微软雅黑" w:cs="微软雅黑"/>
                <w:szCs w:val="21"/>
                <w:lang w:eastAsia="zh-CN"/>
              </w:rPr>
            </w:pPr>
            <w:r>
              <w:rPr>
                <w:rFonts w:hint="eastAsia" w:ascii="微软雅黑" w:hAnsi="微软雅黑" w:eastAsia="微软雅黑" w:cs="微软雅黑"/>
                <w:szCs w:val="21"/>
              </w:rPr>
              <w:t>5、投标终端安全管理部分及网络准入控制产品具备中国网络安全审查认证和市场监管大数据中心颁发的网络关键设备和网络安全专用产品安全认证证书得3分，</w:t>
            </w:r>
            <w:r>
              <w:rPr>
                <w:rFonts w:hint="eastAsia" w:ascii="微软雅黑" w:hAnsi="微软雅黑" w:eastAsia="微软雅黑" w:cs="微软雅黑"/>
                <w:szCs w:val="21"/>
                <w:lang w:val="en-US" w:eastAsia="zh-CN"/>
              </w:rPr>
              <w:t>缺项</w:t>
            </w:r>
            <w:r>
              <w:rPr>
                <w:rFonts w:hint="eastAsia" w:ascii="微软雅黑" w:hAnsi="微软雅黑" w:eastAsia="微软雅黑" w:cs="微软雅黑"/>
                <w:szCs w:val="21"/>
              </w:rPr>
              <w:t>不得分</w:t>
            </w:r>
            <w:r>
              <w:rPr>
                <w:rFonts w:hint="eastAsia" w:ascii="微软雅黑" w:hAnsi="微软雅黑" w:eastAsia="微软雅黑" w:cs="微软雅黑"/>
                <w:szCs w:val="21"/>
                <w:lang w:eastAsia="zh-CN"/>
              </w:rPr>
              <w:t>。</w:t>
            </w:r>
          </w:p>
        </w:tc>
        <w:tc>
          <w:tcPr>
            <w:tcW w:w="848" w:type="dxa"/>
            <w:vMerge w:val="continue"/>
            <w:tcBorders>
              <w:left w:val="single" w:color="000000" w:sz="4" w:space="0"/>
              <w:bottom w:val="single" w:color="000000" w:sz="4" w:space="0"/>
              <w:right w:val="single" w:color="000000" w:sz="4" w:space="0"/>
            </w:tcBorders>
            <w:vAlign w:val="center"/>
          </w:tcPr>
          <w:p w14:paraId="7476183F">
            <w:pPr>
              <w:pStyle w:val="9"/>
              <w:rPr>
                <w:rFonts w:ascii="微软雅黑" w:hAnsi="微软雅黑" w:eastAsia="微软雅黑" w:cs="微软雅黑"/>
                <w:sz w:val="21"/>
                <w:szCs w:val="21"/>
              </w:rPr>
            </w:pPr>
          </w:p>
        </w:tc>
      </w:tr>
      <w:tr w14:paraId="174D9C9F">
        <w:tblPrEx>
          <w:tblCellMar>
            <w:top w:w="0" w:type="dxa"/>
            <w:left w:w="108" w:type="dxa"/>
            <w:bottom w:w="0" w:type="dxa"/>
            <w:right w:w="108" w:type="dxa"/>
          </w:tblCellMar>
        </w:tblPrEx>
        <w:trPr>
          <w:trHeight w:val="151" w:hRule="atLeast"/>
        </w:trPr>
        <w:tc>
          <w:tcPr>
            <w:tcW w:w="1406" w:type="dxa"/>
            <w:vMerge w:val="continue"/>
            <w:tcBorders>
              <w:left w:val="single" w:color="000000" w:sz="4" w:space="0"/>
              <w:bottom w:val="single" w:color="000000" w:sz="4" w:space="0"/>
              <w:right w:val="single" w:color="000000" w:sz="4" w:space="0"/>
            </w:tcBorders>
            <w:vAlign w:val="center"/>
          </w:tcPr>
          <w:p w14:paraId="5C871877">
            <w:pPr>
              <w:pStyle w:val="9"/>
              <w:rPr>
                <w:rFonts w:ascii="微软雅黑" w:hAnsi="微软雅黑" w:eastAsia="微软雅黑" w:cs="微软雅黑"/>
                <w:sz w:val="21"/>
                <w:szCs w:val="21"/>
              </w:rPr>
            </w:pPr>
          </w:p>
        </w:tc>
        <w:tc>
          <w:tcPr>
            <w:tcW w:w="808" w:type="dxa"/>
            <w:vMerge w:val="continue"/>
            <w:tcBorders>
              <w:left w:val="single" w:color="000000" w:sz="4" w:space="0"/>
              <w:bottom w:val="single" w:color="000000" w:sz="4" w:space="0"/>
              <w:right w:val="single" w:color="000000" w:sz="4" w:space="0"/>
            </w:tcBorders>
            <w:vAlign w:val="center"/>
          </w:tcPr>
          <w:p w14:paraId="6CEE3975">
            <w:pPr>
              <w:pStyle w:val="9"/>
              <w:rPr>
                <w:rFonts w:ascii="微软雅黑" w:hAnsi="微软雅黑" w:eastAsia="微软雅黑" w:cs="微软雅黑"/>
                <w:sz w:val="21"/>
                <w:szCs w:val="21"/>
              </w:rPr>
            </w:pPr>
          </w:p>
        </w:tc>
        <w:tc>
          <w:tcPr>
            <w:tcW w:w="6580" w:type="dxa"/>
            <w:tcBorders>
              <w:top w:val="single" w:color="000000" w:sz="4" w:space="0"/>
              <w:left w:val="single" w:color="000000" w:sz="4" w:space="0"/>
              <w:bottom w:val="single" w:color="000000" w:sz="4" w:space="0"/>
              <w:right w:val="single" w:color="000000" w:sz="4" w:space="0"/>
            </w:tcBorders>
            <w:vAlign w:val="center"/>
          </w:tcPr>
          <w:p w14:paraId="4035CD9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6、产品制造商同时具备有效期内的ISO9001、ISO27001、ISO20000、ISO14001证书得3分，</w:t>
            </w:r>
            <w:r>
              <w:rPr>
                <w:rFonts w:hint="eastAsia" w:ascii="微软雅黑" w:hAnsi="微软雅黑" w:eastAsia="微软雅黑" w:cs="微软雅黑"/>
                <w:sz w:val="21"/>
                <w:szCs w:val="21"/>
                <w:lang w:val="en-US" w:eastAsia="zh-CN"/>
              </w:rPr>
              <w:t>缺项</w:t>
            </w:r>
            <w:r>
              <w:rPr>
                <w:rFonts w:hint="eastAsia" w:ascii="微软雅黑" w:hAnsi="微软雅黑" w:eastAsia="微软雅黑" w:cs="微软雅黑"/>
                <w:sz w:val="21"/>
                <w:szCs w:val="21"/>
              </w:rPr>
              <w:t>不得分。</w:t>
            </w:r>
          </w:p>
        </w:tc>
        <w:tc>
          <w:tcPr>
            <w:tcW w:w="848" w:type="dxa"/>
            <w:vMerge w:val="continue"/>
            <w:tcBorders>
              <w:left w:val="single" w:color="000000" w:sz="4" w:space="0"/>
              <w:bottom w:val="single" w:color="000000" w:sz="4" w:space="0"/>
              <w:right w:val="single" w:color="000000" w:sz="4" w:space="0"/>
            </w:tcBorders>
            <w:vAlign w:val="center"/>
          </w:tcPr>
          <w:p w14:paraId="2BFD6637">
            <w:pPr>
              <w:pStyle w:val="9"/>
              <w:rPr>
                <w:rFonts w:ascii="微软雅黑" w:hAnsi="微软雅黑" w:eastAsia="微软雅黑" w:cs="微软雅黑"/>
                <w:sz w:val="21"/>
                <w:szCs w:val="21"/>
              </w:rPr>
            </w:pPr>
          </w:p>
        </w:tc>
      </w:tr>
      <w:tr w14:paraId="2FE5C4D3">
        <w:tblPrEx>
          <w:tblCellMar>
            <w:top w:w="0" w:type="dxa"/>
            <w:left w:w="108" w:type="dxa"/>
            <w:bottom w:w="0" w:type="dxa"/>
            <w:right w:w="108" w:type="dxa"/>
          </w:tblCellMar>
        </w:tblPrEx>
        <w:trPr>
          <w:trHeight w:val="151" w:hRule="atLeast"/>
        </w:trPr>
        <w:tc>
          <w:tcPr>
            <w:tcW w:w="1406" w:type="dxa"/>
            <w:vMerge w:val="continue"/>
            <w:tcBorders>
              <w:left w:val="single" w:color="000000" w:sz="4" w:space="0"/>
              <w:bottom w:val="single" w:color="000000" w:sz="4" w:space="0"/>
              <w:right w:val="single" w:color="000000" w:sz="4" w:space="0"/>
            </w:tcBorders>
            <w:vAlign w:val="center"/>
          </w:tcPr>
          <w:p w14:paraId="55C57F54">
            <w:pPr>
              <w:pStyle w:val="9"/>
              <w:rPr>
                <w:rFonts w:ascii="微软雅黑" w:hAnsi="微软雅黑" w:eastAsia="微软雅黑" w:cs="微软雅黑"/>
              </w:rPr>
            </w:pPr>
          </w:p>
        </w:tc>
        <w:tc>
          <w:tcPr>
            <w:tcW w:w="808" w:type="dxa"/>
            <w:vMerge w:val="continue"/>
            <w:tcBorders>
              <w:left w:val="single" w:color="000000" w:sz="4" w:space="0"/>
              <w:bottom w:val="single" w:color="000000" w:sz="4" w:space="0"/>
              <w:right w:val="single" w:color="000000" w:sz="4" w:space="0"/>
            </w:tcBorders>
            <w:vAlign w:val="center"/>
          </w:tcPr>
          <w:p w14:paraId="04A224A7">
            <w:pPr>
              <w:pStyle w:val="9"/>
              <w:rPr>
                <w:rFonts w:ascii="微软雅黑" w:hAnsi="微软雅黑" w:eastAsia="微软雅黑" w:cs="微软雅黑"/>
              </w:rPr>
            </w:pPr>
          </w:p>
        </w:tc>
        <w:tc>
          <w:tcPr>
            <w:tcW w:w="6580" w:type="dxa"/>
            <w:tcBorders>
              <w:top w:val="single" w:color="000000" w:sz="4" w:space="0"/>
              <w:left w:val="single" w:color="000000" w:sz="4" w:space="0"/>
              <w:bottom w:val="single" w:color="000000" w:sz="4" w:space="0"/>
              <w:right w:val="single" w:color="000000" w:sz="4" w:space="0"/>
            </w:tcBorders>
            <w:vAlign w:val="center"/>
          </w:tcPr>
          <w:p w14:paraId="47C650AC">
            <w:pPr>
              <w:rPr>
                <w:rFonts w:ascii="微软雅黑" w:hAnsi="微软雅黑" w:eastAsia="微软雅黑" w:cs="微软雅黑"/>
                <w:szCs w:val="21"/>
              </w:rPr>
            </w:pPr>
            <w:r>
              <w:rPr>
                <w:rFonts w:hint="eastAsia" w:ascii="微软雅黑" w:hAnsi="微软雅黑" w:eastAsia="微软雅黑" w:cs="微软雅黑"/>
                <w:szCs w:val="21"/>
              </w:rPr>
              <w:t>备注：</w:t>
            </w:r>
          </w:p>
          <w:p w14:paraId="541C3E61">
            <w:pPr>
              <w:rPr>
                <w:rFonts w:ascii="微软雅黑" w:hAnsi="微软雅黑" w:eastAsia="微软雅黑" w:cs="微软雅黑"/>
                <w:szCs w:val="21"/>
              </w:rPr>
            </w:pPr>
            <w:r>
              <w:rPr>
                <w:rFonts w:hint="eastAsia" w:ascii="微软雅黑" w:hAnsi="微软雅黑" w:eastAsia="微软雅黑" w:cs="微软雅黑"/>
                <w:szCs w:val="21"/>
              </w:rPr>
              <w:t>上述2-6项中涉及之证书、报告，提供复印件及相关查询官网查询结果链接及截图。</w:t>
            </w:r>
          </w:p>
        </w:tc>
        <w:tc>
          <w:tcPr>
            <w:tcW w:w="848" w:type="dxa"/>
            <w:vMerge w:val="continue"/>
            <w:tcBorders>
              <w:left w:val="single" w:color="000000" w:sz="4" w:space="0"/>
              <w:bottom w:val="single" w:color="000000" w:sz="4" w:space="0"/>
              <w:right w:val="single" w:color="000000" w:sz="4" w:space="0"/>
            </w:tcBorders>
            <w:vAlign w:val="center"/>
          </w:tcPr>
          <w:p w14:paraId="40031FF9">
            <w:pPr>
              <w:pStyle w:val="9"/>
              <w:rPr>
                <w:rFonts w:ascii="微软雅黑" w:hAnsi="微软雅黑" w:eastAsia="微软雅黑" w:cs="微软雅黑"/>
                <w:sz w:val="21"/>
                <w:szCs w:val="21"/>
              </w:rPr>
            </w:pPr>
          </w:p>
        </w:tc>
      </w:tr>
      <w:tr w14:paraId="5CDB7BE7">
        <w:tblPrEx>
          <w:tblCellMar>
            <w:top w:w="0" w:type="dxa"/>
            <w:left w:w="108" w:type="dxa"/>
            <w:bottom w:w="0" w:type="dxa"/>
            <w:right w:w="108" w:type="dxa"/>
          </w:tblCellMar>
        </w:tblPrEx>
        <w:trPr>
          <w:trHeight w:val="758" w:hRule="atLeast"/>
        </w:trPr>
        <w:tc>
          <w:tcPr>
            <w:tcW w:w="1406" w:type="dxa"/>
            <w:vMerge w:val="continue"/>
            <w:tcBorders>
              <w:top w:val="single" w:color="000000" w:sz="4" w:space="0"/>
              <w:left w:val="single" w:color="000000" w:sz="4" w:space="0"/>
              <w:bottom w:val="single" w:color="000000" w:sz="4" w:space="0"/>
              <w:right w:val="single" w:color="000000" w:sz="4" w:space="0"/>
            </w:tcBorders>
            <w:vAlign w:val="center"/>
          </w:tcPr>
          <w:p w14:paraId="631A86CA">
            <w:pPr>
              <w:pStyle w:val="9"/>
              <w:rPr>
                <w:rFonts w:ascii="微软雅黑" w:hAnsi="微软雅黑" w:eastAsia="微软雅黑" w:cs="微软雅黑"/>
                <w:sz w:val="21"/>
                <w:szCs w:val="21"/>
              </w:rPr>
            </w:pP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14:paraId="5A001A5E">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服务团队技术能力</w:t>
            </w:r>
          </w:p>
        </w:tc>
        <w:tc>
          <w:tcPr>
            <w:tcW w:w="6580" w:type="dxa"/>
            <w:tcBorders>
              <w:top w:val="single" w:color="000000" w:sz="4" w:space="0"/>
              <w:left w:val="single" w:color="000000" w:sz="4" w:space="0"/>
              <w:bottom w:val="single" w:color="000000" w:sz="4" w:space="0"/>
              <w:right w:val="single" w:color="000000" w:sz="4" w:space="0"/>
            </w:tcBorders>
            <w:vAlign w:val="center"/>
          </w:tcPr>
          <w:p w14:paraId="6577DC1C">
            <w:pPr>
              <w:numPr>
                <w:ilvl w:val="0"/>
                <w:numId w:val="9"/>
              </w:numPr>
              <w:spacing w:line="360" w:lineRule="auto"/>
              <w:rPr>
                <w:rFonts w:ascii="微软雅黑" w:hAnsi="微软雅黑" w:eastAsia="微软雅黑" w:cs="微软雅黑"/>
                <w:bCs/>
                <w:szCs w:val="21"/>
              </w:rPr>
            </w:pPr>
            <w:r>
              <w:rPr>
                <w:rFonts w:hint="eastAsia" w:ascii="微软雅黑" w:hAnsi="微软雅黑" w:eastAsia="微软雅黑" w:cs="微软雅黑"/>
                <w:color w:val="000000"/>
                <w:kern w:val="0"/>
                <w:szCs w:val="21"/>
                <w:lang w:bidi="ar"/>
              </w:rPr>
              <w:t>项目经理：具备信息系统项目管理师、信息安全工程师，有1个证书得1分，最多得2分。</w:t>
            </w:r>
          </w:p>
        </w:tc>
        <w:tc>
          <w:tcPr>
            <w:tcW w:w="848" w:type="dxa"/>
            <w:vMerge w:val="restart"/>
            <w:tcBorders>
              <w:top w:val="single" w:color="000000" w:sz="4" w:space="0"/>
              <w:left w:val="single" w:color="000000" w:sz="4" w:space="0"/>
              <w:bottom w:val="single" w:color="000000" w:sz="4" w:space="0"/>
              <w:right w:val="single" w:color="000000" w:sz="4" w:space="0"/>
            </w:tcBorders>
            <w:vAlign w:val="center"/>
          </w:tcPr>
          <w:p w14:paraId="0F10306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5分</w:t>
            </w:r>
          </w:p>
        </w:tc>
      </w:tr>
      <w:tr w14:paraId="48BD535B">
        <w:tblPrEx>
          <w:tblCellMar>
            <w:top w:w="0" w:type="dxa"/>
            <w:left w:w="108" w:type="dxa"/>
            <w:bottom w:w="0" w:type="dxa"/>
            <w:right w:w="108" w:type="dxa"/>
          </w:tblCellMar>
        </w:tblPrEx>
        <w:trPr>
          <w:trHeight w:val="613" w:hRule="atLeast"/>
        </w:trPr>
        <w:tc>
          <w:tcPr>
            <w:tcW w:w="1406" w:type="dxa"/>
            <w:vMerge w:val="continue"/>
            <w:tcBorders>
              <w:top w:val="single" w:color="000000" w:sz="4" w:space="0"/>
              <w:left w:val="single" w:color="000000" w:sz="4" w:space="0"/>
              <w:bottom w:val="single" w:color="000000" w:sz="4" w:space="0"/>
              <w:right w:val="single" w:color="000000" w:sz="4" w:space="0"/>
            </w:tcBorders>
            <w:vAlign w:val="center"/>
          </w:tcPr>
          <w:p w14:paraId="6B201351">
            <w:pPr>
              <w:pStyle w:val="9"/>
              <w:rPr>
                <w:rFonts w:ascii="微软雅黑" w:hAnsi="微软雅黑" w:eastAsia="微软雅黑" w:cs="微软雅黑"/>
                <w:sz w:val="21"/>
                <w:szCs w:val="21"/>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14:paraId="00839B88">
            <w:pPr>
              <w:pStyle w:val="9"/>
              <w:rPr>
                <w:rFonts w:ascii="微软雅黑" w:hAnsi="微软雅黑" w:eastAsia="微软雅黑" w:cs="微软雅黑"/>
                <w:sz w:val="21"/>
                <w:szCs w:val="21"/>
              </w:rPr>
            </w:pPr>
          </w:p>
        </w:tc>
        <w:tc>
          <w:tcPr>
            <w:tcW w:w="6580" w:type="dxa"/>
            <w:tcBorders>
              <w:top w:val="single" w:color="000000" w:sz="4" w:space="0"/>
              <w:left w:val="single" w:color="000000" w:sz="4" w:space="0"/>
              <w:bottom w:val="single" w:color="000000" w:sz="4" w:space="0"/>
              <w:right w:val="single" w:color="000000" w:sz="4" w:space="0"/>
            </w:tcBorders>
            <w:vAlign w:val="center"/>
          </w:tcPr>
          <w:p w14:paraId="0B85524F">
            <w:pPr>
              <w:numPr>
                <w:ilvl w:val="0"/>
                <w:numId w:val="9"/>
              </w:numPr>
              <w:rPr>
                <w:rFonts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安装实施人员：具备CISP注册信息安全工程师、HCIP网络工程师认证、HCIE网络工程师认证，有1个证书得1分，最高得3分。</w:t>
            </w:r>
          </w:p>
          <w:p w14:paraId="7C18836E">
            <w:pPr>
              <w:rPr>
                <w:rFonts w:ascii="微软雅黑" w:hAnsi="微软雅黑" w:eastAsia="微软雅黑" w:cs="微软雅黑"/>
                <w:szCs w:val="21"/>
              </w:rPr>
            </w:pPr>
            <w:r>
              <w:rPr>
                <w:rFonts w:hint="eastAsia" w:ascii="微软雅黑" w:hAnsi="微软雅黑" w:eastAsia="微软雅黑" w:cs="微软雅黑"/>
                <w:color w:val="000000"/>
                <w:kern w:val="0"/>
                <w:szCs w:val="21"/>
                <w:lang w:bidi="ar"/>
              </w:rPr>
              <w:t>注：须提供证书复印件或扫描件、近半年（至少2个月）投标人为其缴纳的社会保险证明材料，否则不得分。</w:t>
            </w:r>
          </w:p>
        </w:tc>
        <w:tc>
          <w:tcPr>
            <w:tcW w:w="848" w:type="dxa"/>
            <w:vMerge w:val="continue"/>
            <w:tcBorders>
              <w:top w:val="single" w:color="000000" w:sz="4" w:space="0"/>
              <w:left w:val="single" w:color="000000" w:sz="4" w:space="0"/>
              <w:bottom w:val="single" w:color="000000" w:sz="4" w:space="0"/>
              <w:right w:val="single" w:color="000000" w:sz="4" w:space="0"/>
            </w:tcBorders>
            <w:vAlign w:val="center"/>
          </w:tcPr>
          <w:p w14:paraId="78E2FC28">
            <w:pPr>
              <w:pStyle w:val="9"/>
              <w:rPr>
                <w:rFonts w:ascii="微软雅黑" w:hAnsi="微软雅黑" w:eastAsia="微软雅黑" w:cs="微软雅黑"/>
                <w:sz w:val="21"/>
                <w:szCs w:val="21"/>
              </w:rPr>
            </w:pPr>
          </w:p>
        </w:tc>
      </w:tr>
      <w:tr w14:paraId="7B8CBD0C">
        <w:tblPrEx>
          <w:tblCellMar>
            <w:top w:w="0" w:type="dxa"/>
            <w:left w:w="108" w:type="dxa"/>
            <w:bottom w:w="0" w:type="dxa"/>
            <w:right w:w="108" w:type="dxa"/>
          </w:tblCellMar>
        </w:tblPrEx>
        <w:trPr>
          <w:trHeight w:val="732" w:hRule="atLeast"/>
        </w:trPr>
        <w:tc>
          <w:tcPr>
            <w:tcW w:w="1406" w:type="dxa"/>
            <w:vMerge w:val="restart"/>
            <w:tcBorders>
              <w:top w:val="single" w:color="000000" w:sz="4" w:space="0"/>
              <w:left w:val="single" w:color="000000" w:sz="4" w:space="0"/>
              <w:right w:val="single" w:color="000000" w:sz="4" w:space="0"/>
            </w:tcBorders>
            <w:vAlign w:val="center"/>
          </w:tcPr>
          <w:p w14:paraId="172AD3BA">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售后部分</w:t>
            </w:r>
          </w:p>
        </w:tc>
        <w:tc>
          <w:tcPr>
            <w:tcW w:w="808" w:type="dxa"/>
            <w:vMerge w:val="restart"/>
            <w:tcBorders>
              <w:top w:val="single" w:color="000000" w:sz="4" w:space="0"/>
              <w:left w:val="single" w:color="000000" w:sz="4" w:space="0"/>
              <w:right w:val="single" w:color="000000" w:sz="4" w:space="0"/>
            </w:tcBorders>
            <w:vAlign w:val="center"/>
          </w:tcPr>
          <w:p w14:paraId="70C29029">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售后服务</w:t>
            </w:r>
          </w:p>
        </w:tc>
        <w:tc>
          <w:tcPr>
            <w:tcW w:w="6580" w:type="dxa"/>
            <w:tcBorders>
              <w:top w:val="single" w:color="000000" w:sz="4" w:space="0"/>
              <w:left w:val="single" w:color="000000" w:sz="4" w:space="0"/>
              <w:bottom w:val="single" w:color="auto" w:sz="4" w:space="0"/>
              <w:right w:val="single" w:color="000000" w:sz="4" w:space="0"/>
            </w:tcBorders>
            <w:vAlign w:val="center"/>
          </w:tcPr>
          <w:p w14:paraId="7DCB0719">
            <w:pPr>
              <w:rPr>
                <w:rFonts w:ascii="微软雅黑" w:hAnsi="微软雅黑" w:eastAsia="微软雅黑" w:cs="微软雅黑"/>
                <w:szCs w:val="21"/>
              </w:rPr>
            </w:pPr>
            <w:r>
              <w:rPr>
                <w:rFonts w:hint="eastAsia" w:ascii="微软雅黑" w:hAnsi="微软雅黑" w:eastAsia="微软雅黑" w:cs="微软雅黑"/>
                <w:szCs w:val="21"/>
                <w:lang w:val="en-US" w:eastAsia="zh-CN"/>
              </w:rPr>
              <w:t>投标人</w:t>
            </w:r>
            <w:r>
              <w:rPr>
                <w:rFonts w:hint="eastAsia" w:ascii="微软雅黑" w:hAnsi="微软雅黑" w:eastAsia="微软雅黑" w:cs="微软雅黑"/>
                <w:szCs w:val="21"/>
              </w:rPr>
              <w:t>售后服务、维护保养</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应急维修等综合评议：</w:t>
            </w:r>
          </w:p>
          <w:p w14:paraId="2BB0847F">
            <w:pPr>
              <w:rPr>
                <w:rFonts w:hint="eastAsia" w:ascii="微软雅黑" w:hAnsi="微软雅黑" w:eastAsia="微软雅黑" w:cs="微软雅黑"/>
                <w:szCs w:val="21"/>
                <w:lang w:eastAsia="zh-CN"/>
              </w:rPr>
            </w:pPr>
            <w:r>
              <w:rPr>
                <w:rFonts w:hint="eastAsia" w:ascii="微软雅黑" w:hAnsi="微软雅黑" w:eastAsia="微软雅黑" w:cs="微软雅黑"/>
                <w:szCs w:val="21"/>
              </w:rPr>
              <w:t>根据</w:t>
            </w:r>
            <w:r>
              <w:rPr>
                <w:rFonts w:hint="default" w:ascii="Calibri" w:hAnsi="Calibri" w:eastAsia="微软雅黑" w:cs="Calibri"/>
                <w:szCs w:val="21"/>
              </w:rPr>
              <w:t>①</w:t>
            </w:r>
            <w:r>
              <w:rPr>
                <w:rFonts w:hint="eastAsia" w:ascii="Calibri" w:hAnsi="Calibri" w:eastAsia="微软雅黑" w:cs="Calibri"/>
                <w:szCs w:val="21"/>
                <w:lang w:eastAsia="zh-CN"/>
              </w:rPr>
              <w:t>、</w:t>
            </w:r>
            <w:r>
              <w:rPr>
                <w:rFonts w:hint="eastAsia" w:ascii="微软雅黑" w:hAnsi="微软雅黑" w:eastAsia="微软雅黑" w:cs="微软雅黑"/>
                <w:szCs w:val="21"/>
              </w:rPr>
              <w:t>售后服务方案合理、可行，现场开发人员和维护工作人员组成合理。</w:t>
            </w:r>
            <w:r>
              <w:rPr>
                <w:rFonts w:hint="default" w:ascii="Calibri" w:hAnsi="Calibri" w:eastAsia="微软雅黑" w:cs="Calibri"/>
                <w:szCs w:val="21"/>
              </w:rPr>
              <w:t>②</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培训计划完整、详细，配备详细的培训课程表</w:t>
            </w:r>
            <w:r>
              <w:rPr>
                <w:rFonts w:hint="eastAsia" w:ascii="微软雅黑" w:hAnsi="微软雅黑" w:eastAsia="微软雅黑" w:cs="微软雅黑"/>
                <w:szCs w:val="21"/>
                <w:lang w:eastAsia="zh-CN"/>
              </w:rPr>
              <w:t>。</w:t>
            </w:r>
          </w:p>
          <w:p w14:paraId="33E549BD">
            <w:pPr>
              <w:rPr>
                <w:rFonts w:ascii="微软雅黑" w:hAnsi="微软雅黑" w:eastAsia="微软雅黑" w:cs="微软雅黑"/>
                <w:bCs/>
                <w:szCs w:val="21"/>
              </w:rPr>
            </w:pPr>
            <w:r>
              <w:rPr>
                <w:rFonts w:hint="eastAsia" w:ascii="微软雅黑" w:hAnsi="微软雅黑" w:eastAsia="微软雅黑" w:cs="微软雅黑"/>
                <w:szCs w:val="21"/>
                <w:highlight w:val="none"/>
                <w:lang w:val="en-US" w:eastAsia="zh-CN"/>
              </w:rPr>
              <w:t>本项最高5分，满足一项得2.5分。</w:t>
            </w:r>
          </w:p>
        </w:tc>
        <w:tc>
          <w:tcPr>
            <w:tcW w:w="848" w:type="dxa"/>
            <w:tcBorders>
              <w:top w:val="single" w:color="000000" w:sz="4" w:space="0"/>
              <w:left w:val="single" w:color="000000" w:sz="4" w:space="0"/>
              <w:bottom w:val="single" w:color="auto" w:sz="4" w:space="0"/>
              <w:right w:val="single" w:color="000000" w:sz="4" w:space="0"/>
            </w:tcBorders>
            <w:vAlign w:val="center"/>
          </w:tcPr>
          <w:p w14:paraId="51EBE605">
            <w:pPr>
              <w:pStyle w:val="9"/>
              <w:rPr>
                <w:rFonts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w:t>
            </w:r>
          </w:p>
        </w:tc>
      </w:tr>
      <w:tr w14:paraId="499F6DC2">
        <w:tblPrEx>
          <w:tblCellMar>
            <w:top w:w="0" w:type="dxa"/>
            <w:left w:w="108" w:type="dxa"/>
            <w:bottom w:w="0" w:type="dxa"/>
            <w:right w:w="108" w:type="dxa"/>
          </w:tblCellMar>
        </w:tblPrEx>
        <w:trPr>
          <w:trHeight w:val="1089" w:hRule="atLeast"/>
        </w:trPr>
        <w:tc>
          <w:tcPr>
            <w:tcW w:w="1406" w:type="dxa"/>
            <w:vMerge w:val="continue"/>
            <w:tcBorders>
              <w:left w:val="single" w:color="000000" w:sz="4" w:space="0"/>
              <w:bottom w:val="single" w:color="000000" w:sz="4" w:space="0"/>
              <w:right w:val="single" w:color="000000" w:sz="4" w:space="0"/>
            </w:tcBorders>
            <w:vAlign w:val="center"/>
          </w:tcPr>
          <w:p w14:paraId="041BDA9F">
            <w:pPr>
              <w:pStyle w:val="9"/>
              <w:rPr>
                <w:rFonts w:hint="eastAsia" w:ascii="微软雅黑" w:hAnsi="微软雅黑" w:eastAsia="微软雅黑" w:cs="微软雅黑"/>
                <w:sz w:val="21"/>
                <w:szCs w:val="21"/>
              </w:rPr>
            </w:pPr>
          </w:p>
        </w:tc>
        <w:tc>
          <w:tcPr>
            <w:tcW w:w="808" w:type="dxa"/>
            <w:vMerge w:val="continue"/>
            <w:tcBorders>
              <w:left w:val="single" w:color="000000" w:sz="4" w:space="0"/>
              <w:bottom w:val="single" w:color="000000" w:sz="4" w:space="0"/>
              <w:right w:val="single" w:color="000000" w:sz="4" w:space="0"/>
            </w:tcBorders>
            <w:vAlign w:val="center"/>
          </w:tcPr>
          <w:p w14:paraId="4EED42BA">
            <w:pPr>
              <w:pStyle w:val="9"/>
              <w:rPr>
                <w:rFonts w:hint="eastAsia" w:ascii="微软雅黑" w:hAnsi="微软雅黑" w:eastAsia="微软雅黑" w:cs="微软雅黑"/>
                <w:sz w:val="21"/>
                <w:szCs w:val="21"/>
              </w:rPr>
            </w:pPr>
          </w:p>
        </w:tc>
        <w:tc>
          <w:tcPr>
            <w:tcW w:w="6580" w:type="dxa"/>
            <w:tcBorders>
              <w:top w:val="single" w:color="auto" w:sz="4" w:space="0"/>
              <w:left w:val="single" w:color="000000" w:sz="4" w:space="0"/>
              <w:bottom w:val="single" w:color="000000" w:sz="4" w:space="0"/>
              <w:right w:val="single" w:color="000000" w:sz="4" w:space="0"/>
            </w:tcBorders>
            <w:vAlign w:val="center"/>
          </w:tcPr>
          <w:p w14:paraId="434CE471">
            <w:pPr>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后期维保报价：报百分比，总分5分。</w:t>
            </w:r>
          </w:p>
          <w:p w14:paraId="4E4058BC">
            <w:pPr>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1.按</w:t>
            </w:r>
            <w:r>
              <w:rPr>
                <w:rFonts w:hint="eastAsia" w:ascii="微软雅黑" w:hAnsi="微软雅黑" w:eastAsia="微软雅黑" w:cs="微软雅黑"/>
                <w:strike w:val="0"/>
                <w:dstrike w:val="0"/>
                <w:szCs w:val="21"/>
                <w:highlight w:val="none"/>
              </w:rPr>
              <w:t>不高于合同总价6%</w:t>
            </w:r>
            <w:r>
              <w:rPr>
                <w:rFonts w:hint="eastAsia" w:ascii="微软雅黑" w:hAnsi="微软雅黑" w:eastAsia="微软雅黑" w:cs="微软雅黑"/>
                <w:strike w:val="0"/>
                <w:dstrike w:val="0"/>
                <w:szCs w:val="21"/>
                <w:highlight w:val="none"/>
                <w:lang w:val="en-US" w:eastAsia="zh-CN"/>
              </w:rPr>
              <w:t>的年费用进行维保报价，报价超过6%的为无效报价，不得分。</w:t>
            </w:r>
          </w:p>
          <w:p w14:paraId="545E7F44">
            <w:pPr>
              <w:rPr>
                <w:rFonts w:hint="default" w:ascii="微软雅黑" w:hAnsi="微软雅黑" w:eastAsia="微软雅黑" w:cs="微软雅黑"/>
                <w:szCs w:val="21"/>
                <w:highlight w:val="cyan"/>
                <w:lang w:val="en-US" w:eastAsia="zh-CN"/>
              </w:rPr>
            </w:pPr>
            <w:r>
              <w:rPr>
                <w:rFonts w:hint="eastAsia" w:ascii="微软雅黑" w:hAnsi="微软雅黑" w:eastAsia="微软雅黑" w:cs="微软雅黑"/>
                <w:szCs w:val="21"/>
                <w:highlight w:val="none"/>
                <w:lang w:val="en-US" w:eastAsia="zh-CN"/>
              </w:rPr>
              <w:t>2.报价得分计算方法：所报百分比最小的</w:t>
            </w:r>
            <w:r>
              <w:rPr>
                <w:rFonts w:hint="eastAsia" w:ascii="微软雅黑" w:hAnsi="微软雅黑" w:eastAsia="微软雅黑" w:cs="微软雅黑"/>
                <w:sz w:val="21"/>
                <w:szCs w:val="21"/>
                <w:highlight w:val="none"/>
              </w:rPr>
              <w:t>为评定基准价，其价格分为</w:t>
            </w: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rPr>
              <w:t>分。其他投标人的价格分统一按照下列公式计算：报价得分=（评分基准价/</w:t>
            </w:r>
            <w:r>
              <w:rPr>
                <w:rFonts w:hint="eastAsia" w:ascii="微软雅黑" w:hAnsi="微软雅黑" w:eastAsia="微软雅黑" w:cs="微软雅黑"/>
                <w:sz w:val="21"/>
                <w:szCs w:val="21"/>
                <w:highlight w:val="none"/>
                <w:lang w:val="en-US" w:eastAsia="zh-CN"/>
              </w:rPr>
              <w:t>所报百分比</w:t>
            </w:r>
            <w:r>
              <w:rPr>
                <w:rFonts w:hint="eastAsia" w:ascii="微软雅黑" w:hAnsi="微软雅黑" w:eastAsia="微软雅黑" w:cs="微软雅黑"/>
                <w:sz w:val="21"/>
                <w:szCs w:val="21"/>
                <w:highlight w:val="none"/>
              </w:rPr>
              <w:t>）×5分。</w:t>
            </w:r>
          </w:p>
        </w:tc>
        <w:tc>
          <w:tcPr>
            <w:tcW w:w="848" w:type="dxa"/>
            <w:tcBorders>
              <w:top w:val="single" w:color="auto" w:sz="4" w:space="0"/>
              <w:left w:val="single" w:color="000000" w:sz="4" w:space="0"/>
              <w:bottom w:val="single" w:color="000000" w:sz="4" w:space="0"/>
              <w:right w:val="single" w:color="000000" w:sz="4" w:space="0"/>
            </w:tcBorders>
            <w:vAlign w:val="center"/>
          </w:tcPr>
          <w:p w14:paraId="17712B06">
            <w:pPr>
              <w:pStyle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w:t>
            </w:r>
          </w:p>
        </w:tc>
      </w:tr>
    </w:tbl>
    <w:p w14:paraId="398E8F44">
      <w:pPr>
        <w:spacing w:line="380" w:lineRule="exact"/>
        <w:outlineLvl w:val="4"/>
        <w:rPr>
          <w:rFonts w:ascii="微软雅黑" w:hAnsi="微软雅黑" w:eastAsia="微软雅黑" w:cs="微软雅黑"/>
          <w:szCs w:val="21"/>
        </w:rPr>
      </w:pPr>
    </w:p>
    <w:p w14:paraId="6D172459">
      <w:pPr>
        <w:spacing w:line="380" w:lineRule="exact"/>
        <w:outlineLvl w:val="0"/>
        <w:rPr>
          <w:rFonts w:ascii="微软雅黑" w:hAnsi="微软雅黑" w:eastAsia="微软雅黑" w:cs="微软雅黑"/>
          <w:b/>
          <w:bCs/>
          <w:szCs w:val="21"/>
        </w:rPr>
      </w:pPr>
      <w:bookmarkStart w:id="2" w:name="_Toc18756"/>
      <w:bookmarkStart w:id="3" w:name="_Toc3661"/>
      <w:r>
        <w:rPr>
          <w:rFonts w:hint="eastAsia" w:ascii="微软雅黑" w:hAnsi="微软雅黑" w:eastAsia="微软雅黑" w:cs="微软雅黑"/>
          <w:b/>
          <w:bCs/>
          <w:szCs w:val="21"/>
        </w:rPr>
        <w:t>七、报名</w:t>
      </w:r>
      <w:bookmarkEnd w:id="2"/>
      <w:bookmarkEnd w:id="3"/>
      <w:r>
        <w:rPr>
          <w:rFonts w:hint="eastAsia" w:ascii="微软雅黑" w:hAnsi="微软雅黑" w:eastAsia="微软雅黑" w:cs="微软雅黑"/>
          <w:b/>
          <w:bCs/>
          <w:szCs w:val="21"/>
        </w:rPr>
        <w:t>及开标</w:t>
      </w:r>
    </w:p>
    <w:p w14:paraId="3A0095D4">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1.报名时间：2025年 </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 xml:space="preserve">月 </w:t>
      </w:r>
      <w:r>
        <w:rPr>
          <w:rFonts w:hint="eastAsia" w:ascii="微软雅黑" w:hAnsi="微软雅黑" w:eastAsia="微软雅黑" w:cs="微软雅黑"/>
          <w:szCs w:val="21"/>
          <w:lang w:val="en-US" w:eastAsia="zh-CN"/>
        </w:rPr>
        <w:t>21</w:t>
      </w:r>
      <w:r>
        <w:rPr>
          <w:rFonts w:hint="eastAsia" w:ascii="微软雅黑" w:hAnsi="微软雅黑" w:eastAsia="微软雅黑" w:cs="微软雅黑"/>
          <w:szCs w:val="21"/>
        </w:rPr>
        <w:t xml:space="preserve">日至2025年 </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 xml:space="preserve">月 </w:t>
      </w:r>
      <w:r>
        <w:rPr>
          <w:rFonts w:hint="eastAsia" w:ascii="微软雅黑" w:hAnsi="微软雅黑" w:eastAsia="微软雅黑" w:cs="微软雅黑"/>
          <w:szCs w:val="21"/>
          <w:lang w:val="en-US" w:eastAsia="zh-CN"/>
        </w:rPr>
        <w:t>27</w:t>
      </w:r>
      <w:bookmarkStart w:id="23" w:name="_GoBack"/>
      <w:bookmarkEnd w:id="23"/>
      <w:r>
        <w:rPr>
          <w:rFonts w:hint="eastAsia" w:ascii="微软雅黑" w:hAnsi="微软雅黑" w:eastAsia="微软雅黑" w:cs="微软雅黑"/>
          <w:szCs w:val="21"/>
        </w:rPr>
        <w:t>日(节假日除外）。上午8:00-11:00 下午2:00-5:00；</w:t>
      </w:r>
    </w:p>
    <w:p w14:paraId="7DDC6909">
      <w:pPr>
        <w:spacing w:line="380" w:lineRule="exact"/>
        <w:rPr>
          <w:rFonts w:ascii="微软雅黑" w:hAnsi="微软雅黑" w:eastAsia="微软雅黑" w:cs="微软雅黑"/>
          <w:szCs w:val="21"/>
        </w:rPr>
      </w:pPr>
      <w:r>
        <w:rPr>
          <w:rFonts w:hint="eastAsia" w:ascii="微软雅黑" w:hAnsi="微软雅黑" w:eastAsia="微软雅黑" w:cs="微软雅黑"/>
          <w:szCs w:val="21"/>
        </w:rPr>
        <w:t>2.报名地点：丹阳市人民医院采购中心（丹阳市西二环路教育印刷厂三楼）；</w:t>
      </w:r>
    </w:p>
    <w:p w14:paraId="1186BE82">
      <w:pPr>
        <w:spacing w:line="380" w:lineRule="exact"/>
        <w:rPr>
          <w:rFonts w:ascii="微软雅黑" w:hAnsi="微软雅黑" w:eastAsia="微软雅黑" w:cs="微软雅黑"/>
          <w:szCs w:val="21"/>
        </w:rPr>
      </w:pPr>
      <w:r>
        <w:rPr>
          <w:rFonts w:hint="eastAsia" w:ascii="微软雅黑" w:hAnsi="微软雅黑" w:eastAsia="微软雅黑" w:cs="微软雅黑"/>
          <w:szCs w:val="21"/>
        </w:rPr>
        <w:t>3.联系人及电话：杨先生；联系电话：0511-86553123、15189172512。</w:t>
      </w:r>
    </w:p>
    <w:p w14:paraId="446D24AF">
      <w:pPr>
        <w:spacing w:line="380" w:lineRule="exact"/>
        <w:rPr>
          <w:rFonts w:ascii="微软雅黑" w:hAnsi="微软雅黑" w:eastAsia="微软雅黑" w:cs="微软雅黑"/>
          <w:szCs w:val="21"/>
        </w:rPr>
      </w:pPr>
      <w:r>
        <w:rPr>
          <w:rFonts w:hint="eastAsia" w:ascii="微软雅黑" w:hAnsi="微软雅黑" w:eastAsia="微软雅黑" w:cs="微软雅黑"/>
          <w:szCs w:val="21"/>
        </w:rPr>
        <w:t>4.开标时间：医院通知</w:t>
      </w:r>
    </w:p>
    <w:p w14:paraId="21D9BFE5">
      <w:pPr>
        <w:spacing w:line="380" w:lineRule="exact"/>
        <w:rPr>
          <w:rFonts w:ascii="微软雅黑" w:hAnsi="微软雅黑" w:eastAsia="微软雅黑" w:cs="微软雅黑"/>
          <w:szCs w:val="21"/>
        </w:rPr>
      </w:pPr>
      <w:r>
        <w:rPr>
          <w:rFonts w:hint="eastAsia" w:ascii="微软雅黑" w:hAnsi="微软雅黑" w:eastAsia="微软雅黑" w:cs="微软雅黑"/>
          <w:szCs w:val="21"/>
        </w:rPr>
        <w:t>5.开标地点：院内会议室</w:t>
      </w:r>
    </w:p>
    <w:p w14:paraId="639A9571">
      <w:pPr>
        <w:spacing w:line="380" w:lineRule="exact"/>
        <w:rPr>
          <w:rFonts w:ascii="微软雅黑" w:hAnsi="微软雅黑" w:eastAsia="微软雅黑" w:cs="微软雅黑"/>
          <w:szCs w:val="21"/>
          <w:u w:val="single"/>
        </w:rPr>
      </w:pPr>
      <w:r>
        <w:rPr>
          <w:rFonts w:hint="eastAsia" w:ascii="微软雅黑" w:hAnsi="微软雅黑" w:eastAsia="微软雅黑" w:cs="微软雅黑"/>
          <w:szCs w:val="21"/>
        </w:rPr>
        <w:t>6.投标文件：一式二份，开标时提供（格式参见第二部分）</w:t>
      </w:r>
    </w:p>
    <w:p w14:paraId="11E54F1F">
      <w:pPr>
        <w:widowControl/>
        <w:jc w:val="left"/>
        <w:rPr>
          <w:rFonts w:ascii="微软雅黑" w:hAnsi="微软雅黑" w:eastAsia="微软雅黑" w:cs="微软雅黑"/>
          <w:b/>
          <w:sz w:val="32"/>
          <w:szCs w:val="32"/>
        </w:rPr>
      </w:pPr>
      <w:r>
        <w:rPr>
          <w:rFonts w:hint="eastAsia" w:ascii="微软雅黑" w:hAnsi="微软雅黑" w:eastAsia="微软雅黑" w:cs="微软雅黑"/>
          <w:b/>
          <w:sz w:val="32"/>
          <w:szCs w:val="32"/>
        </w:rPr>
        <w:br w:type="page"/>
      </w:r>
    </w:p>
    <w:p w14:paraId="57B67622">
      <w:pPr>
        <w:spacing w:line="360" w:lineRule="auto"/>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丹阳市人民医院</w:t>
      </w:r>
    </w:p>
    <w:p w14:paraId="2E941614">
      <w:pPr>
        <w:spacing w:line="360" w:lineRule="auto"/>
        <w:jc w:val="center"/>
        <w:rPr>
          <w:rFonts w:ascii="微软雅黑" w:hAnsi="微软雅黑" w:eastAsia="微软雅黑" w:cs="微软雅黑"/>
          <w:b/>
          <w:bCs/>
          <w:sz w:val="24"/>
        </w:rPr>
      </w:pPr>
      <w:r>
        <w:rPr>
          <w:rFonts w:hint="eastAsia" w:ascii="微软雅黑" w:hAnsi="微软雅黑" w:eastAsia="微软雅黑" w:cs="微软雅黑"/>
          <w:b/>
          <w:bCs/>
          <w:sz w:val="32"/>
          <w:szCs w:val="32"/>
        </w:rPr>
        <w:t>终端安全和准入控制系统项目采购合同</w:t>
      </w:r>
    </w:p>
    <w:p w14:paraId="6F2A2210">
      <w:pPr>
        <w:spacing w:line="360" w:lineRule="auto"/>
        <w:ind w:left="84"/>
        <w:rPr>
          <w:rFonts w:ascii="微软雅黑" w:hAnsi="微软雅黑" w:eastAsia="微软雅黑" w:cs="微软雅黑"/>
        </w:rPr>
      </w:pPr>
      <w:r>
        <w:rPr>
          <w:rFonts w:hint="eastAsia" w:ascii="微软雅黑" w:hAnsi="微软雅黑" w:eastAsia="微软雅黑" w:cs="微软雅黑"/>
          <w:spacing w:val="11"/>
          <w:position w:val="17"/>
        </w:rPr>
        <w:t>甲方(委托方):丹阳市人民医院</w:t>
      </w:r>
    </w:p>
    <w:p w14:paraId="198B4DF9">
      <w:pPr>
        <w:spacing w:line="360" w:lineRule="auto"/>
        <w:ind w:left="84"/>
        <w:rPr>
          <w:rFonts w:ascii="微软雅黑" w:hAnsi="微软雅黑" w:eastAsia="微软雅黑" w:cs="微软雅黑"/>
          <w:spacing w:val="-18"/>
        </w:rPr>
      </w:pPr>
      <w:r>
        <w:rPr>
          <w:rFonts w:hint="eastAsia" w:ascii="微软雅黑" w:hAnsi="微软雅黑" w:eastAsia="微软雅黑" w:cs="微软雅黑"/>
          <w:spacing w:val="-18"/>
        </w:rPr>
        <w:t>注册地址：丹阳市新民西路2号</w:t>
      </w:r>
    </w:p>
    <w:p w14:paraId="4E1B3E46">
      <w:pPr>
        <w:spacing w:line="360" w:lineRule="auto"/>
        <w:ind w:left="84"/>
        <w:rPr>
          <w:rFonts w:ascii="微软雅黑" w:hAnsi="微软雅黑" w:eastAsia="微软雅黑" w:cs="微软雅黑"/>
          <w:spacing w:val="-18"/>
        </w:rPr>
      </w:pPr>
    </w:p>
    <w:p w14:paraId="5CD996AA">
      <w:pPr>
        <w:spacing w:line="360" w:lineRule="auto"/>
        <w:ind w:left="84"/>
        <w:rPr>
          <w:rFonts w:ascii="微软雅黑" w:hAnsi="微软雅黑" w:eastAsia="微软雅黑" w:cs="微软雅黑"/>
        </w:rPr>
      </w:pPr>
      <w:r>
        <w:rPr>
          <w:rFonts w:hint="eastAsia" w:ascii="微软雅黑" w:hAnsi="微软雅黑" w:eastAsia="微软雅黑" w:cs="微软雅黑"/>
          <w:spacing w:val="6"/>
        </w:rPr>
        <w:t>乙方(服务方):</w:t>
      </w:r>
    </w:p>
    <w:p w14:paraId="3AF4BBB7">
      <w:pPr>
        <w:spacing w:line="360" w:lineRule="auto"/>
        <w:ind w:left="84"/>
        <w:rPr>
          <w:rFonts w:ascii="微软雅黑" w:hAnsi="微软雅黑" w:eastAsia="微软雅黑" w:cs="微软雅黑"/>
          <w:spacing w:val="-4"/>
        </w:rPr>
      </w:pPr>
      <w:r>
        <w:rPr>
          <w:rFonts w:hint="eastAsia" w:ascii="微软雅黑" w:hAnsi="微软雅黑" w:eastAsia="微软雅黑" w:cs="微软雅黑"/>
          <w:spacing w:val="-4"/>
        </w:rPr>
        <w:t>注册地址：</w:t>
      </w:r>
    </w:p>
    <w:p w14:paraId="6274BF72">
      <w:pPr>
        <w:spacing w:line="360" w:lineRule="auto"/>
        <w:ind w:left="84" w:leftChars="40" w:firstLine="420" w:firstLineChars="200"/>
        <w:rPr>
          <w:rFonts w:ascii="微软雅黑" w:hAnsi="微软雅黑" w:eastAsia="微软雅黑" w:cs="微软雅黑"/>
        </w:rPr>
      </w:pPr>
      <w:r>
        <w:rPr>
          <w:rFonts w:hint="eastAsia" w:ascii="微软雅黑" w:hAnsi="微软雅黑" w:eastAsia="微软雅黑" w:cs="微软雅黑"/>
          <w:bCs/>
        </w:rPr>
        <w:t xml:space="preserve">根据《中华人民共和国民法典》及 </w:t>
      </w:r>
      <w:r>
        <w:rPr>
          <w:rFonts w:hint="eastAsia" w:ascii="微软雅黑" w:hAnsi="微软雅黑" w:eastAsia="微软雅黑" w:cs="微软雅黑"/>
          <w:bCs/>
          <w:u w:val="single"/>
        </w:rPr>
        <w:t xml:space="preserve"> 丹阳市人民医院终端安全和准入控制系统项目采购</w:t>
      </w:r>
      <w:r>
        <w:rPr>
          <w:rFonts w:hint="eastAsia" w:ascii="微软雅黑" w:hAnsi="微软雅黑" w:eastAsia="微软雅黑" w:cs="微软雅黑"/>
          <w:bCs/>
        </w:rPr>
        <w:t xml:space="preserve">（编号 </w:t>
      </w:r>
      <w:r>
        <w:rPr>
          <w:rFonts w:hint="eastAsia" w:ascii="微软雅黑" w:hAnsi="微软雅黑" w:eastAsia="微软雅黑" w:cs="微软雅黑"/>
          <w:bCs/>
          <w:u w:val="single"/>
        </w:rPr>
        <w:t xml:space="preserve"> DRY-CG-2025033</w:t>
      </w:r>
      <w:r>
        <w:rPr>
          <w:rFonts w:hint="eastAsia" w:ascii="微软雅黑" w:hAnsi="微软雅黑" w:eastAsia="微软雅黑" w:cs="微软雅黑"/>
          <w:bCs/>
        </w:rPr>
        <w:t>）采购结果</w:t>
      </w:r>
      <w:r>
        <w:rPr>
          <w:rFonts w:hint="eastAsia" w:ascii="微软雅黑" w:hAnsi="微软雅黑" w:eastAsia="微软雅黑" w:cs="微软雅黑"/>
        </w:rPr>
        <w:t>，</w:t>
      </w:r>
      <w:r>
        <w:rPr>
          <w:rFonts w:hint="eastAsia" w:ascii="微软雅黑" w:hAnsi="微软雅黑" w:eastAsia="微软雅黑" w:cs="微软雅黑"/>
          <w:bCs/>
        </w:rPr>
        <w:t>双方秉持</w:t>
      </w:r>
      <w:r>
        <w:rPr>
          <w:rFonts w:hint="eastAsia" w:ascii="微软雅黑" w:hAnsi="微软雅黑" w:eastAsia="微软雅黑" w:cs="微软雅黑"/>
        </w:rPr>
        <w:t>平等自愿、公平公正、互惠互利的原则，经友好协商，</w:t>
      </w:r>
      <w:r>
        <w:rPr>
          <w:rFonts w:hint="eastAsia" w:ascii="微软雅黑" w:hAnsi="微软雅黑" w:eastAsia="微软雅黑" w:cs="微软雅黑"/>
          <w:bCs/>
        </w:rPr>
        <w:t>就甲方委托乙方接口改造事宜达成一致并签订本协议，合同如下：</w:t>
      </w:r>
    </w:p>
    <w:p w14:paraId="31B2C22C">
      <w:pPr>
        <w:spacing w:line="360" w:lineRule="auto"/>
        <w:ind w:firstLine="420" w:firstLineChars="200"/>
        <w:rPr>
          <w:rFonts w:ascii="微软雅黑" w:hAnsi="微软雅黑" w:eastAsia="微软雅黑" w:cs="微软雅黑"/>
          <w:b/>
        </w:rPr>
      </w:pPr>
      <w:r>
        <w:rPr>
          <w:rFonts w:hint="eastAsia" w:ascii="微软雅黑" w:hAnsi="微软雅黑" w:eastAsia="微软雅黑" w:cs="微软雅黑"/>
          <w:b/>
        </w:rPr>
        <w:t>1.主要服务内容</w:t>
      </w:r>
    </w:p>
    <w:p w14:paraId="217094B0">
      <w:pPr>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1.1本项目的主要技术内容是丹阳市人民医院终端安全和准入控制系统项目。主要产品内容如下，具体服务内容见附件一《功能技术指标》。</w:t>
      </w:r>
    </w:p>
    <w:tbl>
      <w:tblPr>
        <w:tblStyle w:val="18"/>
        <w:tblW w:w="8850"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4401"/>
        <w:gridCol w:w="3075"/>
      </w:tblGrid>
      <w:tr w14:paraId="447C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4" w:type="dxa"/>
          </w:tcPr>
          <w:p w14:paraId="77AC1ECF">
            <w:pPr>
              <w:spacing w:line="360" w:lineRule="auto"/>
              <w:rPr>
                <w:rFonts w:ascii="微软雅黑" w:hAnsi="微软雅黑" w:eastAsia="微软雅黑" w:cs="微软雅黑"/>
                <w:b/>
              </w:rPr>
            </w:pPr>
            <w:r>
              <w:rPr>
                <w:rFonts w:hint="eastAsia" w:ascii="微软雅黑" w:hAnsi="微软雅黑" w:eastAsia="微软雅黑" w:cs="微软雅黑"/>
                <w:b/>
              </w:rPr>
              <w:t>序号</w:t>
            </w:r>
          </w:p>
        </w:tc>
        <w:tc>
          <w:tcPr>
            <w:tcW w:w="4401" w:type="dxa"/>
          </w:tcPr>
          <w:p w14:paraId="1BE40814">
            <w:pPr>
              <w:spacing w:line="360" w:lineRule="auto"/>
              <w:ind w:firstLine="315" w:firstLineChars="150"/>
              <w:rPr>
                <w:rFonts w:ascii="微软雅黑" w:hAnsi="微软雅黑" w:eastAsia="微软雅黑" w:cs="微软雅黑"/>
                <w:b/>
              </w:rPr>
            </w:pPr>
            <w:r>
              <w:rPr>
                <w:rFonts w:hint="eastAsia" w:ascii="微软雅黑" w:hAnsi="微软雅黑" w:eastAsia="微软雅黑" w:cs="微软雅黑"/>
                <w:b/>
              </w:rPr>
              <w:t>名称</w:t>
            </w:r>
          </w:p>
        </w:tc>
        <w:tc>
          <w:tcPr>
            <w:tcW w:w="3075" w:type="dxa"/>
          </w:tcPr>
          <w:p w14:paraId="7E65933B">
            <w:pPr>
              <w:spacing w:line="360" w:lineRule="auto"/>
              <w:ind w:firstLine="735" w:firstLineChars="350"/>
              <w:rPr>
                <w:rFonts w:ascii="微软雅黑" w:hAnsi="微软雅黑" w:eastAsia="微软雅黑" w:cs="微软雅黑"/>
                <w:b/>
              </w:rPr>
            </w:pPr>
            <w:r>
              <w:rPr>
                <w:rFonts w:hint="eastAsia" w:ascii="微软雅黑" w:hAnsi="微软雅黑" w:eastAsia="微软雅黑" w:cs="微软雅黑"/>
                <w:b/>
              </w:rPr>
              <w:t>数量</w:t>
            </w:r>
          </w:p>
        </w:tc>
      </w:tr>
      <w:tr w14:paraId="7C3F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74" w:type="dxa"/>
          </w:tcPr>
          <w:p w14:paraId="4326BCED">
            <w:pPr>
              <w:spacing w:line="360" w:lineRule="auto"/>
              <w:rPr>
                <w:rFonts w:ascii="微软雅黑" w:hAnsi="微软雅黑" w:eastAsia="微软雅黑" w:cs="微软雅黑"/>
              </w:rPr>
            </w:pPr>
            <w:r>
              <w:rPr>
                <w:rFonts w:hint="eastAsia" w:ascii="微软雅黑" w:hAnsi="微软雅黑" w:eastAsia="微软雅黑" w:cs="微软雅黑"/>
              </w:rPr>
              <w:t>1</w:t>
            </w:r>
          </w:p>
        </w:tc>
        <w:tc>
          <w:tcPr>
            <w:tcW w:w="4401" w:type="dxa"/>
          </w:tcPr>
          <w:p w14:paraId="0FF3F50C">
            <w:pPr>
              <w:spacing w:line="360" w:lineRule="auto"/>
              <w:rPr>
                <w:rFonts w:ascii="微软雅黑" w:hAnsi="微软雅黑" w:eastAsia="微软雅黑" w:cs="微软雅黑"/>
              </w:rPr>
            </w:pPr>
            <w:r>
              <w:rPr>
                <w:rFonts w:hint="eastAsia" w:ascii="微软雅黑" w:hAnsi="微软雅黑" w:eastAsia="微软雅黑" w:cs="微软雅黑"/>
              </w:rPr>
              <w:t>终端安全管理和准入控制系统</w:t>
            </w:r>
          </w:p>
        </w:tc>
        <w:tc>
          <w:tcPr>
            <w:tcW w:w="3075" w:type="dxa"/>
          </w:tcPr>
          <w:p w14:paraId="72E03AB5">
            <w:pPr>
              <w:spacing w:line="360" w:lineRule="auto"/>
              <w:ind w:firstLine="315" w:firstLineChars="150"/>
              <w:rPr>
                <w:rFonts w:ascii="微软雅黑" w:hAnsi="微软雅黑" w:eastAsia="微软雅黑" w:cs="微软雅黑"/>
              </w:rPr>
            </w:pPr>
            <w:r>
              <w:rPr>
                <w:rFonts w:hint="eastAsia" w:ascii="微软雅黑" w:hAnsi="微软雅黑" w:eastAsia="微软雅黑" w:cs="微软雅黑"/>
              </w:rPr>
              <w:t>一套（含850点）</w:t>
            </w:r>
          </w:p>
        </w:tc>
      </w:tr>
    </w:tbl>
    <w:p w14:paraId="4E2DFD95">
      <w:pPr>
        <w:spacing w:line="360" w:lineRule="auto"/>
        <w:ind w:firstLine="420" w:firstLineChars="200"/>
        <w:rPr>
          <w:rFonts w:ascii="微软雅黑" w:hAnsi="微软雅黑" w:eastAsia="微软雅黑" w:cs="微软雅黑"/>
        </w:rPr>
      </w:pPr>
    </w:p>
    <w:p w14:paraId="71B0ACB9">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1.2自项目验收</w:t>
      </w:r>
      <w:r>
        <w:rPr>
          <w:rFonts w:hint="eastAsia" w:ascii="微软雅黑" w:hAnsi="微软雅黑" w:eastAsia="微软雅黑" w:cs="微软雅黑"/>
          <w:b/>
          <w:bCs/>
          <w:color w:val="auto"/>
          <w:highlight w:val="none"/>
        </w:rPr>
        <w:t>合格</w:t>
      </w:r>
      <w:r>
        <w:rPr>
          <w:rFonts w:hint="eastAsia" w:ascii="微软雅黑" w:hAnsi="微软雅黑" w:eastAsia="微软雅黑" w:cs="微软雅黑"/>
          <w:color w:val="auto"/>
          <w:highlight w:val="none"/>
        </w:rPr>
        <w:t>之日起，乙方提供免费维保</w:t>
      </w:r>
      <w:r>
        <w:rPr>
          <w:rFonts w:hint="eastAsia" w:ascii="微软雅黑" w:hAnsi="微软雅黑" w:eastAsia="微软雅黑" w:cs="微软雅黑"/>
          <w:color w:val="auto"/>
          <w:highlight w:val="none"/>
          <w:u w:val="single"/>
        </w:rPr>
        <w:t xml:space="preserve">  叁  </w:t>
      </w:r>
      <w:r>
        <w:rPr>
          <w:rFonts w:hint="eastAsia" w:ascii="微软雅黑" w:hAnsi="微软雅黑" w:eastAsia="微软雅黑" w:cs="微软雅黑"/>
          <w:color w:val="auto"/>
          <w:highlight w:val="none"/>
        </w:rPr>
        <w:t>年（包括三年内新增的点位）</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strike w:val="0"/>
          <w:dstrike w:val="0"/>
          <w:color w:val="auto"/>
          <w:highlight w:val="none"/>
          <w:u w:val="none"/>
          <w:lang w:val="en-US" w:eastAsia="zh-CN"/>
        </w:rPr>
        <w:t xml:space="preserve">  </w:t>
      </w:r>
      <w:r>
        <w:rPr>
          <w:rFonts w:ascii="微软雅黑" w:hAnsi="微软雅黑" w:eastAsia="微软雅黑" w:cs="微软雅黑"/>
          <w:b/>
          <w:bCs/>
          <w:color w:val="auto"/>
          <w:highlight w:val="none"/>
        </w:rPr>
        <w:t>合同期内</w:t>
      </w:r>
      <w:r>
        <w:rPr>
          <w:rFonts w:hint="eastAsia" w:ascii="微软雅黑" w:hAnsi="微软雅黑" w:eastAsia="微软雅黑" w:cs="微软雅黑"/>
          <w:color w:val="auto"/>
          <w:highlight w:val="none"/>
        </w:rPr>
        <w:t>每增加1个点位，进行相应费用增加，计算公式：合同总金额÷850（每个点位费用）。</w:t>
      </w:r>
    </w:p>
    <w:p w14:paraId="433BDEDD">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2.合同价及付款方式</w:t>
      </w:r>
    </w:p>
    <w:p w14:paraId="43D45DF4">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2.1合同总金额为人民币(含税价)</w:t>
      </w:r>
      <w:r>
        <w:rPr>
          <w:rFonts w:hint="eastAsia" w:ascii="微软雅黑" w:hAnsi="微软雅黑" w:eastAsia="微软雅黑" w:cs="微软雅黑"/>
          <w:color w:val="auto"/>
          <w:highlight w:val="none"/>
          <w:u w:val="single"/>
        </w:rPr>
        <w:t>此处金额大写</w:t>
      </w:r>
      <w:r>
        <w:rPr>
          <w:rFonts w:hint="eastAsia" w:ascii="微软雅黑" w:hAnsi="微软雅黑" w:eastAsia="微软雅黑" w:cs="微软雅黑"/>
          <w:color w:val="auto"/>
          <w:highlight w:val="none"/>
        </w:rPr>
        <w:t>元整(￥</w:t>
      </w:r>
      <w:r>
        <w:rPr>
          <w:rFonts w:hint="eastAsia" w:ascii="微软雅黑" w:hAnsi="微软雅黑" w:eastAsia="微软雅黑" w:cs="微软雅黑"/>
          <w:color w:val="auto"/>
          <w:highlight w:val="none"/>
          <w:u w:val="single"/>
        </w:rPr>
        <w:t>此处金额数字小写</w:t>
      </w:r>
      <w:r>
        <w:rPr>
          <w:rFonts w:hint="eastAsia" w:ascii="微软雅黑" w:hAnsi="微软雅黑" w:eastAsia="微软雅黑" w:cs="微软雅黑"/>
          <w:color w:val="auto"/>
          <w:highlight w:val="none"/>
        </w:rPr>
        <w:t>元)，本价格为甲方支付的总包价格，为保证本次采购项目完全符合采购需求所产生的所有费用均由乙方承担。</w:t>
      </w:r>
    </w:p>
    <w:p w14:paraId="20E9C660">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2.2付款方式</w:t>
      </w:r>
    </w:p>
    <w:p w14:paraId="711B0684">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项目验收后甲方支付乙方合同总金额的80%，验收合格后满一年付10%，验收合格后满两年付10%。</w:t>
      </w:r>
      <w:bookmarkStart w:id="4" w:name="_Hlk191650318"/>
      <w:r>
        <w:rPr>
          <w:rFonts w:hint="eastAsia" w:ascii="微软雅黑" w:hAnsi="微软雅黑" w:eastAsia="微软雅黑" w:cs="微软雅黑"/>
          <w:bCs/>
          <w:color w:val="auto"/>
          <w:highlight w:val="none"/>
        </w:rPr>
        <w:t>所有款项付清前，乙方应向甲方开具等额有效、符合国家要求的发票。</w:t>
      </w:r>
      <w:bookmarkEnd w:id="4"/>
      <w:r>
        <w:rPr>
          <w:rFonts w:hint="eastAsia" w:ascii="微软雅黑" w:hAnsi="微软雅黑" w:eastAsia="微软雅黑" w:cs="微软雅黑"/>
          <w:bCs/>
          <w:color w:val="auto"/>
          <w:highlight w:val="none"/>
        </w:rPr>
        <w:t xml:space="preserve"> </w:t>
      </w:r>
    </w:p>
    <w:p w14:paraId="33376309">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每期付款前，</w:t>
      </w:r>
      <w:r>
        <w:rPr>
          <w:rFonts w:hint="eastAsia" w:ascii="微软雅黑" w:hAnsi="微软雅黑" w:eastAsia="微软雅黑" w:cs="微软雅黑"/>
          <w:bCs/>
          <w:color w:val="auto"/>
          <w:highlight w:val="none"/>
        </w:rPr>
        <w:t>乙方应向甲方开具等额有效、符合国家要求的发票，否则甲方有权不予支付款项。甲方收到发票后三个月内完成支付。</w:t>
      </w:r>
    </w:p>
    <w:p w14:paraId="771857AA">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2.3乙方指定账户信息</w:t>
      </w:r>
    </w:p>
    <w:p w14:paraId="15FD216B">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单位名称： </w:t>
      </w:r>
    </w:p>
    <w:p w14:paraId="68A6067B">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开户银行： </w:t>
      </w:r>
    </w:p>
    <w:p w14:paraId="26F2D41C">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银行账号： </w:t>
      </w:r>
    </w:p>
    <w:p w14:paraId="50AD76DF">
      <w:pPr>
        <w:pStyle w:val="24"/>
        <w:adjustRightInd w:val="0"/>
        <w:snapToGrid w:val="0"/>
        <w:spacing w:line="360" w:lineRule="auto"/>
        <w:rPr>
          <w:rFonts w:ascii="微软雅黑" w:hAnsi="微软雅黑" w:eastAsia="微软雅黑" w:cs="微软雅黑"/>
          <w:color w:val="auto"/>
          <w:szCs w:val="21"/>
          <w:highlight w:val="none"/>
          <w:lang w:val="zh-CN"/>
        </w:rPr>
      </w:pPr>
      <w:r>
        <w:rPr>
          <w:rFonts w:hint="eastAsia" w:ascii="微软雅黑" w:hAnsi="微软雅黑" w:eastAsia="微软雅黑" w:cs="微软雅黑"/>
          <w:color w:val="auto"/>
          <w:szCs w:val="21"/>
          <w:highlight w:val="none"/>
          <w:lang w:val="zh-CN"/>
        </w:rPr>
        <w:t>2.4甲方开票信息</w:t>
      </w:r>
    </w:p>
    <w:p w14:paraId="1E31330A">
      <w:pPr>
        <w:pStyle w:val="24"/>
        <w:spacing w:line="360" w:lineRule="auto"/>
        <w:rPr>
          <w:rFonts w:ascii="微软雅黑" w:hAnsi="微软雅黑" w:eastAsia="微软雅黑" w:cs="微软雅黑"/>
          <w:bCs/>
          <w:color w:val="auto"/>
          <w:highlight w:val="none"/>
        </w:rPr>
      </w:pPr>
      <w:r>
        <w:rPr>
          <w:rFonts w:hint="eastAsia" w:ascii="微软雅黑" w:hAnsi="微软雅黑" w:eastAsia="微软雅黑" w:cs="微软雅黑"/>
          <w:bCs/>
          <w:color w:val="auto"/>
          <w:highlight w:val="none"/>
        </w:rPr>
        <w:t>名称：丹阳市人民医院</w:t>
      </w:r>
    </w:p>
    <w:p w14:paraId="26ABC25F">
      <w:pPr>
        <w:pStyle w:val="24"/>
        <w:spacing w:line="360" w:lineRule="auto"/>
        <w:rPr>
          <w:rFonts w:ascii="微软雅黑" w:hAnsi="微软雅黑" w:eastAsia="微软雅黑" w:cs="微软雅黑"/>
          <w:bCs/>
          <w:color w:val="auto"/>
          <w:highlight w:val="none"/>
        </w:rPr>
      </w:pPr>
      <w:bookmarkStart w:id="5" w:name="_Hlk191650362"/>
      <w:r>
        <w:rPr>
          <w:rFonts w:hint="eastAsia" w:ascii="微软雅黑" w:hAnsi="微软雅黑" w:eastAsia="微软雅黑" w:cs="微软雅黑"/>
          <w:bCs/>
          <w:color w:val="auto"/>
          <w:highlight w:val="none"/>
        </w:rPr>
        <w:t>纳税人识别号（税号）：</w:t>
      </w:r>
      <w:bookmarkEnd w:id="5"/>
      <w:r>
        <w:rPr>
          <w:rFonts w:hint="eastAsia" w:ascii="微软雅黑" w:hAnsi="微软雅黑" w:eastAsia="微软雅黑" w:cs="微软雅黑"/>
          <w:bCs/>
          <w:color w:val="auto"/>
          <w:highlight w:val="none"/>
        </w:rPr>
        <w:t>1232118146877831XA</w:t>
      </w:r>
    </w:p>
    <w:p w14:paraId="50C2D2F5">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3.项目服务</w:t>
      </w:r>
    </w:p>
    <w:p w14:paraId="77DACE27">
      <w:pPr>
        <w:pStyle w:val="16"/>
        <w:shd w:val="clear" w:color="auto" w:fill="FFFFFF"/>
        <w:adjustRightInd w:val="0"/>
        <w:snapToGrid w:val="0"/>
        <w:spacing w:before="0" w:beforeAutospacing="0" w:after="0" w:afterAutospacing="0" w:line="360" w:lineRule="auto"/>
        <w:ind w:firstLine="420" w:firstLineChars="200"/>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3.1乙方负责项目的安装、环境测试、上线运行等工作。本协议签订后，乙方应在</w:t>
      </w:r>
      <w:r>
        <w:rPr>
          <w:rFonts w:hint="eastAsia" w:ascii="微软雅黑" w:hAnsi="微软雅黑" w:eastAsia="微软雅黑" w:cs="微软雅黑"/>
          <w:bCs/>
          <w:color w:val="auto"/>
          <w:sz w:val="21"/>
          <w:szCs w:val="21"/>
          <w:highlight w:val="none"/>
          <w:u w:val="single"/>
        </w:rPr>
        <w:t xml:space="preserve">    </w:t>
      </w:r>
      <w:bookmarkStart w:id="6" w:name="OLE_LINK4"/>
      <w:r>
        <w:rPr>
          <w:rFonts w:hint="eastAsia" w:ascii="微软雅黑" w:hAnsi="微软雅黑" w:eastAsia="微软雅黑" w:cs="微软雅黑"/>
          <w:bCs/>
          <w:color w:val="auto"/>
          <w:sz w:val="21"/>
          <w:szCs w:val="21"/>
          <w:highlight w:val="none"/>
        </w:rPr>
        <w:t xml:space="preserve">年  </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月</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日前</w:t>
      </w:r>
      <w:bookmarkEnd w:id="6"/>
      <w:r>
        <w:rPr>
          <w:rFonts w:hint="eastAsia" w:ascii="微软雅黑" w:hAnsi="微软雅黑" w:eastAsia="微软雅黑" w:cs="微软雅黑"/>
          <w:bCs/>
          <w:color w:val="auto"/>
          <w:sz w:val="21"/>
          <w:szCs w:val="21"/>
          <w:highlight w:val="none"/>
        </w:rPr>
        <w:t>完成项目上线并验收完毕，每逾期一天甲方收取乙方合同价的</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%作为违约金。</w:t>
      </w:r>
    </w:p>
    <w:p w14:paraId="72D157D4">
      <w:pPr>
        <w:pStyle w:val="16"/>
        <w:shd w:val="clear" w:color="auto" w:fill="FFFFFF"/>
        <w:adjustRightInd w:val="0"/>
        <w:snapToGrid w:val="0"/>
        <w:spacing w:before="0" w:beforeAutospacing="0" w:after="0" w:afterAutospacing="0" w:line="360" w:lineRule="auto"/>
        <w:ind w:firstLine="420" w:firstLineChars="200"/>
        <w:rPr>
          <w:rFonts w:ascii="微软雅黑" w:hAnsi="微软雅黑" w:eastAsia="微软雅黑" w:cs="微软雅黑"/>
          <w:bCs/>
          <w:color w:val="auto"/>
          <w:sz w:val="21"/>
          <w:szCs w:val="21"/>
          <w:highlight w:val="none"/>
        </w:rPr>
      </w:pPr>
      <w:bookmarkStart w:id="7" w:name="_Hlk191469658"/>
      <w:r>
        <w:rPr>
          <w:rFonts w:hint="eastAsia" w:ascii="微软雅黑" w:hAnsi="微软雅黑" w:eastAsia="微软雅黑" w:cs="微软雅黑"/>
          <w:bCs/>
          <w:color w:val="auto"/>
          <w:sz w:val="21"/>
          <w:szCs w:val="21"/>
          <w:highlight w:val="none"/>
        </w:rPr>
        <w:t>3.2乙方提供的系统应具有先进、实用、安全、可靠、可扩展以及界面美观、大方的特点。系统设计要做到：代码标准化、模块标准化、文档标准化、测试标准化以及信息标准化。</w:t>
      </w:r>
    </w:p>
    <w:p w14:paraId="0B459340">
      <w:pPr>
        <w:pStyle w:val="16"/>
        <w:shd w:val="clear" w:color="auto" w:fill="FFFFFF"/>
        <w:adjustRightInd w:val="0"/>
        <w:snapToGrid w:val="0"/>
        <w:spacing w:before="0" w:beforeAutospacing="0" w:after="0" w:afterAutospacing="0" w:line="360" w:lineRule="auto"/>
        <w:ind w:firstLine="420" w:firstLineChars="200"/>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3.3由于医院信息系统7×24小时不间断工作的特性，在本项目实施过程中导致甲方临床业务运行中断，乙方必须在15分钟内紧急修复以保障医院临床业务的正常运行，在升级改造过程中如果造成数据丢失或其他损失的须赔偿全部损失。</w:t>
      </w:r>
    </w:p>
    <w:p w14:paraId="6AF3A4DA">
      <w:pPr>
        <w:pStyle w:val="16"/>
        <w:shd w:val="clear" w:color="auto" w:fill="FFFFFF"/>
        <w:adjustRightInd w:val="0"/>
        <w:snapToGrid w:val="0"/>
        <w:spacing w:before="0" w:beforeAutospacing="0" w:after="0" w:afterAutospacing="0" w:line="360" w:lineRule="auto"/>
        <w:ind w:firstLine="420" w:firstLineChars="200"/>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3.4乙方所提供的一切资料应通过合法途径获得，任何第三方不得对该资料主张权利。</w:t>
      </w:r>
    </w:p>
    <w:bookmarkEnd w:id="7"/>
    <w:p w14:paraId="4FA2F4A3">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4.项目验收</w:t>
      </w:r>
    </w:p>
    <w:p w14:paraId="2B20BAFA">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4.1由乙方制定验收方案并经甲方确认后，对系统的性能和配置进行测试验收，以《功能技术指标》为验收依据（具体内容详见附件一）。最终的验收以双方签字认可，验收单见附件二《验收单（样单）》。</w:t>
      </w:r>
    </w:p>
    <w:p w14:paraId="63592147">
      <w:pPr>
        <w:pStyle w:val="24"/>
        <w:adjustRightInd w:val="0"/>
        <w:snapToGrid w:val="0"/>
        <w:spacing w:line="360" w:lineRule="auto"/>
        <w:ind w:left="0" w:leftChars="0"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4.2如因乙方原因导致未能在约定时限内（时限见3.1）完成验收，甲方给予乙方15天(包含非工作日)时间进行整改并再次验收，乙方应依据合同3.1每日支付违约金。若验收再次不合格，甲方有权利单方面解除合同，并有权利拒绝支付合同项下任何款项</w:t>
      </w:r>
      <w:r>
        <w:rPr>
          <w:rFonts w:hint="eastAsia" w:ascii="微软雅黑" w:hAnsi="微软雅黑" w:eastAsia="微软雅黑" w:cs="微软雅黑"/>
          <w:color w:val="auto"/>
          <w:highlight w:val="none"/>
        </w:rPr>
        <w:t>及要求乙方返还合同项下已支付的款项，</w:t>
      </w:r>
      <w:r>
        <w:rPr>
          <w:rFonts w:hint="eastAsia" w:ascii="微软雅黑" w:hAnsi="微软雅黑" w:eastAsia="微软雅黑" w:cs="微软雅黑"/>
          <w:color w:val="auto"/>
          <w:szCs w:val="21"/>
          <w:highlight w:val="none"/>
        </w:rPr>
        <w:t>并要求乙方赔偿由此对甲方造成的损失。</w:t>
      </w:r>
    </w:p>
    <w:p w14:paraId="26F94B15">
      <w:pPr>
        <w:ind w:firstLine="420" w:firstLineChars="200"/>
        <w:rPr>
          <w:rFonts w:ascii="微软雅黑" w:hAnsi="微软雅黑" w:eastAsia="微软雅黑" w:cs="微软雅黑"/>
          <w:color w:val="auto"/>
          <w:highlight w:val="none"/>
        </w:rPr>
      </w:pPr>
      <w:bookmarkStart w:id="8" w:name="OLE_LINK5"/>
      <w:r>
        <w:rPr>
          <w:rFonts w:hint="eastAsia" w:ascii="微软雅黑" w:hAnsi="微软雅黑" w:eastAsia="微软雅黑" w:cs="微软雅黑"/>
          <w:color w:val="auto"/>
          <w:highlight w:val="none"/>
        </w:rPr>
        <w:t>4.3  乙方所提供的服务内容不符合协议规定的，甲方不予验收，并视为乙方未完成协议主要义务，由此造成延迟交付的，按3.1款执行。</w:t>
      </w:r>
    </w:p>
    <w:bookmarkEnd w:id="8"/>
    <w:p w14:paraId="7418C4D2">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5.质保与售后</w:t>
      </w:r>
    </w:p>
    <w:p w14:paraId="0DB43D31">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5.1 本合同期限为一次性购买，长期使用，乙方免费提供三年的售后服务及维保期内系统免费升级。</w:t>
      </w:r>
    </w:p>
    <w:p w14:paraId="7CAA94AE">
      <w:pPr>
        <w:spacing w:line="360" w:lineRule="auto"/>
        <w:ind w:firstLine="420" w:firstLineChars="200"/>
        <w:rPr>
          <w:rFonts w:ascii="微软雅黑" w:hAnsi="微软雅黑" w:eastAsia="微软雅黑" w:cs="微软雅黑"/>
          <w:bCs/>
          <w:color w:val="auto"/>
          <w:highlight w:val="none"/>
        </w:rPr>
      </w:pPr>
      <w:r>
        <w:rPr>
          <w:rFonts w:hint="eastAsia" w:ascii="微软雅黑" w:hAnsi="微软雅黑" w:eastAsia="微软雅黑" w:cs="微软雅黑"/>
          <w:bCs/>
          <w:color w:val="auto"/>
          <w:highlight w:val="none"/>
        </w:rPr>
        <w:t>5.2乙方应按本合同的约定向甲方相关人员提供培训和技术支持，而且应保证使受训人员理解并掌握操作和维护乙方按本合同提供的软件系统/模块。</w:t>
      </w:r>
    </w:p>
    <w:p w14:paraId="545E9C63">
      <w:pPr>
        <w:pStyle w:val="16"/>
        <w:shd w:val="clear" w:color="auto" w:fill="FFFFFF"/>
        <w:adjustRightInd w:val="0"/>
        <w:snapToGrid w:val="0"/>
        <w:spacing w:before="0" w:beforeAutospacing="0" w:after="0" w:afterAutospacing="0" w:line="360" w:lineRule="auto"/>
        <w:ind w:firstLine="420" w:firstLineChars="200"/>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5.2乙方不得设置任何技术壁垒、恶意程序等手段影响干扰甲方正常使用该系统软件。</w:t>
      </w:r>
    </w:p>
    <w:p w14:paraId="566E1D78">
      <w:pPr>
        <w:pStyle w:val="16"/>
        <w:shd w:val="clear" w:color="auto" w:fill="FFFFFF"/>
        <w:snapToGrid w:val="0"/>
        <w:spacing w:before="0" w:beforeAutospacing="0" w:after="0" w:afterAutospacing="0" w:line="360" w:lineRule="auto"/>
        <w:ind w:firstLine="420" w:firstLineChars="200"/>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5.3乙方负责系统数据的准确性和稳定性。质保期内（质保期见1.2）应免费提供技术服务，技术服务包括系统的维护和技术支持。在质保期内，乙方对由于设计缺陷所发生的任何不足或故障负责，所涉及费用（包括人工费、差旅费、伙食费、乙方人员在工作期间、途中的人身财产损失或致第三人的人身财产损失等）均由乙方承担。</w:t>
      </w:r>
    </w:p>
    <w:p w14:paraId="6AB641D8">
      <w:pPr>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Cs/>
          <w:color w:val="auto"/>
          <w:highlight w:val="none"/>
        </w:rPr>
        <w:t>5.4  软件出现故障，接到甲方通知，乙方应当在1小时内做出响应，在 2小时内排除故障。如乙方售后服务不能按承诺时效响应，由于响应不及时导致甲方产生额外维修费用的及损失，由乙方承担。</w:t>
      </w:r>
    </w:p>
    <w:p w14:paraId="24C84860">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6.知识产权</w:t>
      </w:r>
    </w:p>
    <w:p w14:paraId="1F8C714B">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6.1乙方拥有本合同项下软件系统/模块(以下简称：“软件”)的软件版权，甲方拥有本软件系统/模块在甲方内部的使用权。</w:t>
      </w:r>
    </w:p>
    <w:p w14:paraId="0E8F04AB">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6.2本“软件”是由乙方开发。“软件”的一切版权、商标权、专利权等知识产权及其申请权，和与“软件”相关的专有技术信息内容均受中华人民共和国著作权法、商标法、专利法、反不正当竞争法和相应的国际条约以及其他知识产权法律法规的保护，除涉及第三方授权的软件或技术外，乙方享有上述知识产权。</w:t>
      </w:r>
    </w:p>
    <w:p w14:paraId="2951AAB5">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6.3未经乙方书面同意，甲方不得为任何营利性或非营利性的目的自行实施、利用、转让或许可任何三方实施、利用、转让上述知识产权，乙方保留追究上述未经许可行为的权利。</w:t>
      </w:r>
    </w:p>
    <w:p w14:paraId="652DAF78">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6.4甲方应尊重从乙方所拥有的软件的注册版权，遵守国家《计算机软件保护条例》有关规定，不得以任何形式再次转让、租赁该软件，并不得以任何形式或手段解密该软件。</w:t>
      </w:r>
    </w:p>
    <w:p w14:paraId="7D34AEBE">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6.5乙方应保证甲方在使用该服务或其任何一部分时不受第三方提出侵犯其专利权、商标权和工业设计权的起诉。如果任何第三方提出侵权指控或赔偿要求，乙方必须与第三方交涉，并承担发生和可能发生的一切损失、费用和法律责任。如由于乙方不积极与第三方交涉，甲方有权应诉或进行和解，其发生的费用由乙方承担。</w:t>
      </w:r>
    </w:p>
    <w:p w14:paraId="1921C6A3">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7.转让和分包</w:t>
      </w:r>
    </w:p>
    <w:p w14:paraId="386B2174">
      <w:pPr>
        <w:spacing w:line="360" w:lineRule="auto"/>
        <w:ind w:firstLine="420" w:firstLineChars="200"/>
        <w:rPr>
          <w:rFonts w:ascii="微软雅黑" w:hAnsi="微软雅黑" w:eastAsia="微软雅黑" w:cs="微软雅黑"/>
          <w:color w:val="auto"/>
          <w:highlight w:val="none"/>
        </w:rPr>
      </w:pPr>
      <w:bookmarkStart w:id="9" w:name="_Hlk191469876"/>
      <w:r>
        <w:rPr>
          <w:rFonts w:hint="eastAsia" w:ascii="微软雅黑" w:hAnsi="微软雅黑" w:eastAsia="微软雅黑" w:cs="微软雅黑"/>
          <w:color w:val="auto"/>
          <w:highlight w:val="none"/>
        </w:rPr>
        <w:t>本合同不得转让和分包，</w:t>
      </w:r>
      <w:r>
        <w:rPr>
          <w:rFonts w:hint="eastAsia" w:ascii="微软雅黑" w:hAnsi="微软雅黑" w:eastAsia="微软雅黑" w:cs="微软雅黑"/>
          <w:b/>
          <w:bCs/>
          <w:color w:val="auto"/>
          <w:highlight w:val="none"/>
        </w:rPr>
        <w:t>如有发生，甲方有权解除协议，由此造成的一切损失由乙方承担，同时，乙方应向甲方承担违约金10000元。</w:t>
      </w:r>
    </w:p>
    <w:bookmarkEnd w:id="9"/>
    <w:p w14:paraId="1475FC8C">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8.不可抗力</w:t>
      </w:r>
    </w:p>
    <w:p w14:paraId="61541006">
      <w:pPr>
        <w:pStyle w:val="24"/>
        <w:adjustRightInd w:val="0"/>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8.1 如果双方由于不可抗拒力的任何事故(须经双方认同)致使影响合同履行时，履行合同的期限应予延长，延长期限相当于事故影响的时间。</w:t>
      </w:r>
    </w:p>
    <w:p w14:paraId="413716DB">
      <w:pPr>
        <w:pStyle w:val="24"/>
        <w:adjustRightInd w:val="0"/>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8.2 本条所述的“不可抗拒力”系指双方无法控制、不可预见的事件。这些事件包括但不限于：战争、严重水灾、台风、地震以及其他双方商定的事件。</w:t>
      </w:r>
    </w:p>
    <w:p w14:paraId="294922B9">
      <w:pPr>
        <w:pStyle w:val="24"/>
        <w:adjustRightInd w:val="0"/>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8.3 受事故影响的一方应在不可抗拒力事故发生后尽快以传真通知对方，双方应通过友好协商在合理时间内达成进一步履行合同的协议。</w:t>
      </w:r>
    </w:p>
    <w:p w14:paraId="31095287">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9. 税费</w:t>
      </w:r>
    </w:p>
    <w:p w14:paraId="50F38872">
      <w:pPr>
        <w:pStyle w:val="24"/>
        <w:adjustRightInd w:val="0"/>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9.1中国政府根据现行税法规定对甲方征收的与本合同有关的一切税费均由甲方负担(免税部分除外),招标文件另有规定的除外。</w:t>
      </w:r>
    </w:p>
    <w:p w14:paraId="6BE239E9">
      <w:pPr>
        <w:pStyle w:val="24"/>
        <w:adjustRightInd w:val="0"/>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9.2 中国政府根据现行税法规定对乙方征收的与本合同有关的一切税费均由乙方负担(免税部分除外)。</w:t>
      </w:r>
    </w:p>
    <w:p w14:paraId="2D503D42">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10.合同纠纷处理</w:t>
      </w:r>
    </w:p>
    <w:p w14:paraId="5B7E2A09">
      <w:pPr>
        <w:pStyle w:val="24"/>
        <w:adjustRightInd w:val="0"/>
        <w:snapToGrid w:val="0"/>
        <w:spacing w:line="360" w:lineRule="auto"/>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10.1 在执行本合同中所发生的或与本合同有关的一切争端，甲方和乙方应通过友好协商的办法进行解决。无法协商解决的，</w:t>
      </w:r>
      <w:bookmarkStart w:id="10" w:name="_Hlk191469915"/>
      <w:r>
        <w:rPr>
          <w:rFonts w:hint="eastAsia" w:ascii="微软雅黑" w:hAnsi="微软雅黑" w:eastAsia="微软雅黑" w:cs="微软雅黑"/>
          <w:color w:val="auto"/>
          <w:szCs w:val="21"/>
          <w:highlight w:val="none"/>
        </w:rPr>
        <w:t>依法向甲方所在地人民法院起诉，</w:t>
      </w:r>
      <w:r>
        <w:rPr>
          <w:rFonts w:hint="eastAsia" w:ascii="微软雅黑" w:hAnsi="微软雅黑" w:eastAsia="微软雅黑" w:cs="微软雅黑"/>
          <w:b/>
          <w:bCs/>
          <w:color w:val="auto"/>
          <w:szCs w:val="21"/>
          <w:highlight w:val="none"/>
        </w:rPr>
        <w:t>权利方支出的诉讼费用、律师代理费、保函费、交通费等合理费用由对方承担。</w:t>
      </w:r>
      <w:bookmarkEnd w:id="10"/>
    </w:p>
    <w:p w14:paraId="6227EC0E">
      <w:pPr>
        <w:pStyle w:val="24"/>
        <w:adjustRightInd w:val="0"/>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10.2 在诉讼期间，本合同应继续执行。</w:t>
      </w:r>
    </w:p>
    <w:p w14:paraId="5D026807">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11.违约与赔偿责任</w:t>
      </w:r>
    </w:p>
    <w:p w14:paraId="2B622548">
      <w:pPr>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11.1任何一方违反本合同所规定的义务，除本合同另有规定外，违约方应按合同总价</w:t>
      </w:r>
      <w:r>
        <w:rPr>
          <w:rFonts w:hint="eastAsia" w:ascii="微软雅黑" w:hAnsi="微软雅黑" w:eastAsia="微软雅黑" w:cs="微软雅黑"/>
          <w:color w:val="auto"/>
          <w:highlight w:val="none"/>
          <w:u w:val="single"/>
        </w:rPr>
        <w:t>10000</w:t>
      </w:r>
      <w:r>
        <w:rPr>
          <w:rFonts w:hint="eastAsia" w:ascii="微软雅黑" w:hAnsi="微软雅黑" w:eastAsia="微软雅黑" w:cs="微软雅黑"/>
          <w:color w:val="auto"/>
          <w:highlight w:val="none"/>
        </w:rPr>
        <w:t>元的金额向对方支付违约金。</w:t>
      </w:r>
    </w:p>
    <w:p w14:paraId="7960C6F8">
      <w:pPr>
        <w:pStyle w:val="24"/>
        <w:adjustRightInd w:val="0"/>
        <w:snapToGrid w:val="0"/>
        <w:spacing w:line="360" w:lineRule="auto"/>
        <w:ind w:left="0" w:leftChars="0" w:firstLine="210" w:firstLineChars="1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11.2发生以下情况之一的，甲方可向乙方发出终止部分或全部合同的书面通知书，并要求乙方支付违约金</w:t>
      </w:r>
      <w:r>
        <w:rPr>
          <w:rFonts w:hint="eastAsia" w:ascii="微软雅黑" w:hAnsi="微软雅黑" w:eastAsia="微软雅黑" w:cs="微软雅黑"/>
          <w:color w:val="auto"/>
          <w:szCs w:val="21"/>
          <w:highlight w:val="none"/>
          <w:u w:val="single"/>
        </w:rPr>
        <w:t xml:space="preserve"> 10000 </w:t>
      </w:r>
      <w:r>
        <w:rPr>
          <w:rFonts w:hint="eastAsia" w:ascii="微软雅黑" w:hAnsi="微软雅黑" w:eastAsia="微软雅黑" w:cs="微软雅黑"/>
          <w:color w:val="auto"/>
          <w:szCs w:val="21"/>
          <w:highlight w:val="none"/>
        </w:rPr>
        <w:t xml:space="preserve">  元。</w:t>
      </w:r>
    </w:p>
    <w:p w14:paraId="6F9EBA56">
      <w:pPr>
        <w:pStyle w:val="24"/>
        <w:adjustRightInd w:val="0"/>
        <w:snapToGrid w:val="0"/>
        <w:spacing w:line="360" w:lineRule="auto"/>
        <w:ind w:left="0" w:leftChars="0"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(1)如果乙方未能按合同规定的期限或甲方同意延长的限期内完成部分或全部服务工作；</w:t>
      </w:r>
    </w:p>
    <w:p w14:paraId="23D438AA">
      <w:pPr>
        <w:pStyle w:val="24"/>
        <w:adjustRightInd w:val="0"/>
        <w:snapToGrid w:val="0"/>
        <w:spacing w:line="360" w:lineRule="auto"/>
        <w:ind w:left="0" w:leftChars="0"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(2)乙方在收到甲方发出的违约通知后10天内，或经甲方书面认可延长的时间内未能纠正其过失；</w:t>
      </w:r>
    </w:p>
    <w:p w14:paraId="335B2983">
      <w:pPr>
        <w:pStyle w:val="24"/>
        <w:adjustRightInd w:val="0"/>
        <w:snapToGrid w:val="0"/>
        <w:spacing w:line="360" w:lineRule="auto"/>
        <w:ind w:left="0" w:leftChars="0"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(3)如果乙方未能履行合同规定的其他义务。</w:t>
      </w:r>
    </w:p>
    <w:p w14:paraId="54D551C1">
      <w:pPr>
        <w:spacing w:line="360" w:lineRule="auto"/>
        <w:ind w:firstLine="420" w:firstLineChars="200"/>
        <w:rPr>
          <w:rFonts w:ascii="微软雅黑" w:hAnsi="微软雅黑" w:eastAsia="微软雅黑" w:cs="微软雅黑"/>
          <w:b/>
          <w:color w:val="auto"/>
          <w:highlight w:val="none"/>
        </w:rPr>
      </w:pPr>
      <w:bookmarkStart w:id="11" w:name="_Hlk191470433"/>
      <w:r>
        <w:rPr>
          <w:rFonts w:hint="eastAsia" w:ascii="微软雅黑" w:hAnsi="微软雅黑" w:eastAsia="微软雅黑" w:cs="微软雅黑"/>
          <w:b/>
          <w:color w:val="auto"/>
          <w:highlight w:val="none"/>
        </w:rPr>
        <w:t>12.保密义务</w:t>
      </w:r>
    </w:p>
    <w:p w14:paraId="191EE591">
      <w:pPr>
        <w:pStyle w:val="24"/>
        <w:adjustRightInd w:val="0"/>
        <w:snapToGrid w:val="0"/>
        <w:spacing w:line="360" w:lineRule="auto"/>
        <w:ind w:left="0" w:leftChars="0" w:firstLine="0" w:firstLineChars="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12.1任何一方必须对本合同及本合同项下从另一方所获取的所有信息（包括但不限于技术资料、商业秘密等）严格保密，在未事先取得另一方书面同意的情况下，不得以任何形式向任何第三方披露。如有泄密，应赔偿因此给守约方造成的全部损失；</w:t>
      </w:r>
    </w:p>
    <w:p w14:paraId="548E159F">
      <w:pPr>
        <w:pStyle w:val="24"/>
        <w:adjustRightInd w:val="0"/>
        <w:snapToGrid w:val="0"/>
        <w:spacing w:line="360" w:lineRule="auto"/>
        <w:ind w:left="0" w:leftChars="0" w:firstLine="0" w:firstLineChars="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12.2本合同到期或因任何原因提前终止或无效并不影响本保密条款的效力，双方仍应履行保密义务。</w:t>
      </w:r>
    </w:p>
    <w:p w14:paraId="796DFCC3">
      <w:pPr>
        <w:pStyle w:val="24"/>
        <w:adjustRightInd w:val="0"/>
        <w:snapToGrid w:val="0"/>
        <w:spacing w:line="360" w:lineRule="auto"/>
        <w:ind w:left="0" w:leftChars="0" w:firstLine="0" w:firstLineChars="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12.3维护期间对数据造成的遗失、损坏，乙方需在两周内完成修复，因乙方原因造成的延期，每逾期一天甲方收取乙方合同价的1%作为违约金，如无法修复，乙方应协助甲方寻找第三方机构进行数据修复，所需的费用由乙方全部承担，因数据毁损给医院造成的一切损失由乙方承担。</w:t>
      </w:r>
    </w:p>
    <w:bookmarkEnd w:id="11"/>
    <w:p w14:paraId="5A4AA195">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13. 合同生效及其它</w:t>
      </w:r>
    </w:p>
    <w:p w14:paraId="2A37C574">
      <w:pPr>
        <w:pStyle w:val="24"/>
        <w:adjustRightInd w:val="0"/>
        <w:snapToGrid w:val="0"/>
        <w:spacing w:line="360" w:lineRule="auto"/>
        <w:ind w:left="0" w:leftChars="0"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13.1本合同经甲方、乙方盖章签字后生效。本合同一式肆份，甲方贰份、乙方贰份。</w:t>
      </w:r>
    </w:p>
    <w:p w14:paraId="1181FABD">
      <w:pPr>
        <w:pStyle w:val="24"/>
        <w:adjustRightInd w:val="0"/>
        <w:snapToGrid w:val="0"/>
        <w:spacing w:line="360" w:lineRule="auto"/>
        <w:ind w:left="0" w:leftChars="0"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13.2如需修改或补充合同内容，应经甲方、乙方协商，并签署书面修改或补充协议。该协议将作为本合同不可分割的一部分。</w:t>
      </w:r>
    </w:p>
    <w:p w14:paraId="11477F76">
      <w:pPr>
        <w:pStyle w:val="24"/>
        <w:adjustRightInd w:val="0"/>
        <w:snapToGrid w:val="0"/>
        <w:spacing w:line="360" w:lineRule="auto"/>
        <w:ind w:left="0" w:leftChars="0"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13.3本合同应按照中华人民共和国的现行法律进行解释。</w:t>
      </w:r>
    </w:p>
    <w:p w14:paraId="30DF7AC4">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下列附件是本合同不可分割的有效组成部分，与本合同具有同等法律效力。</w:t>
      </w:r>
    </w:p>
    <w:p w14:paraId="6850A1BA">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附件一 《功能技术指标》</w:t>
      </w:r>
    </w:p>
    <w:p w14:paraId="3FCC4C5B">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附件二《验收单(样单)》</w:t>
      </w:r>
    </w:p>
    <w:p w14:paraId="26846908">
      <w:pPr>
        <w:spacing w:line="360" w:lineRule="auto"/>
        <w:ind w:firstLine="525" w:firstLineChars="25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附件三</w:t>
      </w:r>
      <w:bookmarkStart w:id="12" w:name="_Hlk195102825"/>
      <w:r>
        <w:rPr>
          <w:rFonts w:hint="eastAsia" w:ascii="微软雅黑" w:hAnsi="微软雅黑" w:eastAsia="微软雅黑" w:cs="微软雅黑"/>
          <w:color w:val="auto"/>
          <w:highlight w:val="none"/>
        </w:rPr>
        <w:t>《丹阳市人民医院医院信息化保密协议》</w:t>
      </w:r>
    </w:p>
    <w:bookmarkEnd w:id="12"/>
    <w:p w14:paraId="050CADBB">
      <w:pPr>
        <w:spacing w:line="360" w:lineRule="auto"/>
        <w:ind w:firstLine="440" w:firstLineChars="200"/>
        <w:rPr>
          <w:rFonts w:ascii="微软雅黑" w:hAnsi="微软雅黑" w:eastAsia="微软雅黑" w:cs="微软雅黑"/>
          <w:color w:val="auto"/>
          <w:spacing w:val="5"/>
          <w:highlight w:val="none"/>
        </w:rPr>
      </w:pPr>
      <w:r>
        <w:rPr>
          <w:rFonts w:hint="eastAsia" w:ascii="微软雅黑" w:hAnsi="微软雅黑" w:eastAsia="微软雅黑" w:cs="微软雅黑"/>
          <w:color w:val="auto"/>
          <w:spacing w:val="5"/>
          <w:highlight w:val="none"/>
        </w:rPr>
        <w:t>(以下无正文)</w:t>
      </w:r>
    </w:p>
    <w:p w14:paraId="59AFA7DB">
      <w:pPr>
        <w:spacing w:line="360" w:lineRule="auto"/>
        <w:ind w:firstLine="480" w:firstLineChars="200"/>
        <w:rPr>
          <w:rFonts w:ascii="微软雅黑" w:hAnsi="微软雅黑" w:eastAsia="微软雅黑" w:cs="微软雅黑"/>
          <w:color w:val="auto"/>
          <w:spacing w:val="5"/>
          <w:sz w:val="23"/>
          <w:szCs w:val="23"/>
          <w:highlight w:val="none"/>
        </w:rPr>
      </w:pPr>
    </w:p>
    <w:p w14:paraId="4B2C639B">
      <w:pPr>
        <w:spacing w:line="360" w:lineRule="auto"/>
        <w:rPr>
          <w:rFonts w:ascii="微软雅黑" w:hAnsi="微软雅黑" w:eastAsia="微软雅黑" w:cs="微软雅黑"/>
          <w:color w:val="auto"/>
          <w:highlight w:val="none"/>
        </w:rPr>
      </w:pPr>
    </w:p>
    <w:p w14:paraId="35D92A09">
      <w:pPr>
        <w:tabs>
          <w:tab w:val="left" w:pos="4140"/>
          <w:tab w:val="left" w:pos="4320"/>
          <w:tab w:val="left" w:pos="4680"/>
        </w:tabs>
        <w:spacing w:line="360" w:lineRule="auto"/>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 xml:space="preserve">甲  方：丹阳市人民医院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
          <w:bCs/>
          <w:color w:val="auto"/>
          <w:sz w:val="24"/>
          <w:highlight w:val="none"/>
        </w:rPr>
        <w:t>乙  方：</w:t>
      </w:r>
    </w:p>
    <w:p w14:paraId="20176FD2">
      <w:pPr>
        <w:spacing w:line="360" w:lineRule="auto"/>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授权代表：                               授权代表：</w:t>
      </w:r>
    </w:p>
    <w:p w14:paraId="03822045">
      <w:pPr>
        <w:tabs>
          <w:tab w:val="left" w:pos="1440"/>
          <w:tab w:val="left" w:pos="1800"/>
          <w:tab w:val="left" w:pos="1980"/>
          <w:tab w:val="left" w:pos="4140"/>
          <w:tab w:val="left" w:pos="4680"/>
        </w:tabs>
        <w:spacing w:line="360" w:lineRule="auto"/>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日  期：                                 日  期：</w:t>
      </w:r>
    </w:p>
    <w:p w14:paraId="6F9413B7">
      <w:pPr>
        <w:spacing w:before="87" w:line="219" w:lineRule="auto"/>
        <w:ind w:left="53"/>
        <w:rPr>
          <w:rFonts w:hint="eastAsia" w:ascii="微软雅黑" w:hAnsi="微软雅黑" w:eastAsia="微软雅黑" w:cs="微软雅黑"/>
          <w:color w:val="auto"/>
          <w:spacing w:val="-17"/>
          <w:sz w:val="28"/>
          <w:szCs w:val="28"/>
          <w:highlight w:val="none"/>
        </w:rPr>
      </w:pPr>
    </w:p>
    <w:p w14:paraId="43C425E3">
      <w:pPr>
        <w:spacing w:before="87" w:line="219" w:lineRule="auto"/>
        <w:ind w:left="53"/>
        <w:rPr>
          <w:rFonts w:ascii="微软雅黑" w:hAnsi="微软雅黑" w:eastAsia="微软雅黑" w:cs="微软雅黑"/>
          <w:sz w:val="28"/>
          <w:szCs w:val="28"/>
        </w:rPr>
      </w:pPr>
      <w:r>
        <w:rPr>
          <w:rFonts w:hint="eastAsia" w:ascii="微软雅黑" w:hAnsi="微软雅黑" w:eastAsia="微软雅黑" w:cs="微软雅黑"/>
          <w:spacing w:val="-17"/>
          <w:sz w:val="28"/>
          <w:szCs w:val="28"/>
        </w:rPr>
        <w:t>附件一、</w:t>
      </w:r>
      <w:r>
        <w:rPr>
          <w:rFonts w:hint="eastAsia" w:ascii="微软雅黑" w:hAnsi="微软雅黑" w:eastAsia="微软雅黑" w:cs="微软雅黑"/>
          <w:sz w:val="28"/>
          <w:szCs w:val="28"/>
        </w:rPr>
        <w:t xml:space="preserve">功能技术指标 </w:t>
      </w:r>
    </w:p>
    <w:p w14:paraId="56C5737D">
      <w:pPr>
        <w:spacing w:line="242" w:lineRule="auto"/>
        <w:rPr>
          <w:rFonts w:ascii="微软雅黑" w:hAnsi="微软雅黑" w:eastAsia="微软雅黑" w:cs="微软雅黑"/>
        </w:rPr>
      </w:pPr>
    </w:p>
    <w:p w14:paraId="24C50F7E">
      <w:pPr>
        <w:rPr>
          <w:rFonts w:ascii="微软雅黑" w:hAnsi="微软雅黑" w:eastAsia="微软雅黑" w:cs="微软雅黑"/>
        </w:rPr>
      </w:pPr>
      <w:r>
        <w:rPr>
          <w:rFonts w:hint="eastAsia" w:ascii="微软雅黑" w:hAnsi="微软雅黑" w:eastAsia="微软雅黑" w:cs="微软雅黑"/>
        </w:rPr>
        <w:t>一、终端安全管理和准入控制系统参数要求</w:t>
      </w:r>
    </w:p>
    <w:p w14:paraId="6242EAC9">
      <w:pPr>
        <w:spacing w:line="360" w:lineRule="auto"/>
        <w:contextualSpacing/>
        <w:jc w:val="center"/>
        <w:rPr>
          <w:rFonts w:ascii="微软雅黑" w:hAnsi="微软雅黑" w:eastAsia="微软雅黑" w:cs="微软雅黑"/>
        </w:rPr>
      </w:pPr>
    </w:p>
    <w:tbl>
      <w:tblPr>
        <w:tblStyle w:val="18"/>
        <w:tblW w:w="9463" w:type="dxa"/>
        <w:tblInd w:w="0" w:type="dxa"/>
        <w:tblLayout w:type="fixed"/>
        <w:tblCellMar>
          <w:top w:w="0" w:type="dxa"/>
          <w:left w:w="108" w:type="dxa"/>
          <w:bottom w:w="0" w:type="dxa"/>
          <w:right w:w="108" w:type="dxa"/>
        </w:tblCellMar>
      </w:tblPr>
      <w:tblGrid>
        <w:gridCol w:w="863"/>
        <w:gridCol w:w="1117"/>
        <w:gridCol w:w="7483"/>
      </w:tblGrid>
      <w:tr w14:paraId="127550F1">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A6006ED">
            <w:pPr>
              <w:jc w:val="left"/>
              <w:textAlignment w:val="center"/>
              <w:rPr>
                <w:rFonts w:ascii="微软雅黑" w:hAnsi="微软雅黑" w:eastAsia="微软雅黑" w:cs="微软雅黑"/>
              </w:rPr>
            </w:pPr>
            <w:r>
              <w:rPr>
                <w:rFonts w:hint="eastAsia" w:ascii="微软雅黑" w:hAnsi="微软雅黑" w:eastAsia="微软雅黑" w:cs="微软雅黑"/>
              </w:rPr>
              <w:t>序号</w:t>
            </w:r>
          </w:p>
        </w:tc>
        <w:tc>
          <w:tcPr>
            <w:tcW w:w="1117" w:type="dxa"/>
            <w:tcBorders>
              <w:top w:val="single" w:color="000000" w:sz="4" w:space="0"/>
              <w:left w:val="single" w:color="000000" w:sz="4" w:space="0"/>
              <w:bottom w:val="single" w:color="000000" w:sz="4" w:space="0"/>
              <w:right w:val="single" w:color="000000" w:sz="4" w:space="0"/>
            </w:tcBorders>
            <w:vAlign w:val="center"/>
          </w:tcPr>
          <w:p w14:paraId="0CA05092">
            <w:pPr>
              <w:jc w:val="center"/>
              <w:textAlignment w:val="center"/>
              <w:rPr>
                <w:rFonts w:ascii="微软雅黑" w:hAnsi="微软雅黑" w:eastAsia="微软雅黑" w:cs="微软雅黑"/>
              </w:rPr>
            </w:pPr>
            <w:r>
              <w:rPr>
                <w:rFonts w:hint="eastAsia" w:ascii="微软雅黑" w:hAnsi="微软雅黑" w:eastAsia="微软雅黑" w:cs="微软雅黑"/>
              </w:rPr>
              <w:t>模块</w:t>
            </w:r>
          </w:p>
        </w:tc>
        <w:tc>
          <w:tcPr>
            <w:tcW w:w="7483" w:type="dxa"/>
            <w:tcBorders>
              <w:top w:val="single" w:color="000000" w:sz="4" w:space="0"/>
              <w:left w:val="single" w:color="000000" w:sz="4" w:space="0"/>
              <w:bottom w:val="single" w:color="000000" w:sz="4" w:space="0"/>
              <w:right w:val="single" w:color="000000" w:sz="4" w:space="0"/>
            </w:tcBorders>
            <w:vAlign w:val="center"/>
          </w:tcPr>
          <w:p w14:paraId="37382291">
            <w:pPr>
              <w:jc w:val="center"/>
              <w:textAlignment w:val="center"/>
              <w:rPr>
                <w:rFonts w:ascii="微软雅黑" w:hAnsi="微软雅黑" w:eastAsia="微软雅黑" w:cs="微软雅黑"/>
              </w:rPr>
            </w:pPr>
            <w:r>
              <w:rPr>
                <w:rFonts w:hint="eastAsia" w:ascii="微软雅黑" w:hAnsi="微软雅黑" w:eastAsia="微软雅黑" w:cs="微软雅黑"/>
              </w:rPr>
              <w:t>详细参数</w:t>
            </w:r>
          </w:p>
        </w:tc>
      </w:tr>
      <w:tr w14:paraId="17CB2D3F">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6671A0E">
            <w:pPr>
              <w:pStyle w:val="9"/>
              <w:ind w:firstLine="540"/>
              <w:jc w:val="left"/>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14:paraId="15E0FFBF">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终端准入控制系统</w:t>
            </w:r>
          </w:p>
        </w:tc>
        <w:tc>
          <w:tcPr>
            <w:tcW w:w="7483" w:type="dxa"/>
            <w:tcBorders>
              <w:top w:val="single" w:color="000000" w:sz="4" w:space="0"/>
              <w:left w:val="single" w:color="000000" w:sz="4" w:space="0"/>
              <w:bottom w:val="single" w:color="000000" w:sz="4" w:space="0"/>
              <w:right w:val="single" w:color="000000" w:sz="4" w:space="0"/>
            </w:tcBorders>
            <w:vAlign w:val="center"/>
          </w:tcPr>
          <w:p w14:paraId="34DC127B">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系统具备丰富的终端安全管理功能，包括网络准入控制、日志审计、远程协助，移动存储管理、外设管理、系统盘还原保护、补丁管理、运维管理、水印管理等核心管理功能，终端支持PC端和安卓端的管理。</w:t>
            </w:r>
          </w:p>
        </w:tc>
      </w:tr>
      <w:tr w14:paraId="2F90878E">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FD521CC">
            <w:pPr>
              <w:pStyle w:val="9"/>
              <w:ind w:firstLine="540"/>
              <w:jc w:val="left"/>
              <w:rPr>
                <w:rFonts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117" w:type="dxa"/>
            <w:tcBorders>
              <w:top w:val="single" w:color="000000" w:sz="4" w:space="0"/>
              <w:left w:val="single" w:color="000000" w:sz="4" w:space="0"/>
              <w:bottom w:val="single" w:color="000000" w:sz="4" w:space="0"/>
              <w:right w:val="single" w:color="000000" w:sz="4" w:space="0"/>
            </w:tcBorders>
            <w:vAlign w:val="center"/>
          </w:tcPr>
          <w:p w14:paraId="419E811A">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★终端管理构架</w:t>
            </w:r>
          </w:p>
        </w:tc>
        <w:tc>
          <w:tcPr>
            <w:tcW w:w="7483" w:type="dxa"/>
            <w:tcBorders>
              <w:top w:val="single" w:color="000000" w:sz="4" w:space="0"/>
              <w:left w:val="single" w:color="000000" w:sz="4" w:space="0"/>
              <w:bottom w:val="single" w:color="000000" w:sz="4" w:space="0"/>
              <w:right w:val="single" w:color="000000" w:sz="4" w:space="0"/>
            </w:tcBorders>
            <w:vAlign w:val="center"/>
          </w:tcPr>
          <w:p w14:paraId="2C8D3C1B">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对于Windows终端、安卓终端、信创终端管理在同一个管理平台下，为了保证日常对于终端运维的及时性，终端管理部分为C/S构架，控制台位EXE模式，管理员人员可以在控制台对于终端进行策略配置，远程运维。（须供截图证明）</w:t>
            </w:r>
          </w:p>
        </w:tc>
      </w:tr>
      <w:tr w14:paraId="7C84340E">
        <w:tblPrEx>
          <w:tblCellMar>
            <w:top w:w="0" w:type="dxa"/>
            <w:left w:w="108" w:type="dxa"/>
            <w:bottom w:w="0" w:type="dxa"/>
            <w:right w:w="108" w:type="dxa"/>
          </w:tblCellMar>
        </w:tblPrEx>
        <w:trPr>
          <w:trHeight w:val="819"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B0B722F">
            <w:pPr>
              <w:pStyle w:val="9"/>
              <w:ind w:firstLine="540"/>
              <w:jc w:val="left"/>
              <w:rPr>
                <w:rFonts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117" w:type="dxa"/>
            <w:tcBorders>
              <w:top w:val="single" w:color="000000" w:sz="4" w:space="0"/>
              <w:left w:val="single" w:color="000000" w:sz="4" w:space="0"/>
              <w:bottom w:val="single" w:color="000000" w:sz="4" w:space="0"/>
              <w:right w:val="single" w:color="000000" w:sz="4" w:space="0"/>
            </w:tcBorders>
            <w:vAlign w:val="center"/>
          </w:tcPr>
          <w:p w14:paraId="607FA0B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准入技术</w:t>
            </w:r>
          </w:p>
        </w:tc>
        <w:tc>
          <w:tcPr>
            <w:tcW w:w="7483" w:type="dxa"/>
            <w:tcBorders>
              <w:top w:val="single" w:color="000000" w:sz="4" w:space="0"/>
              <w:left w:val="single" w:color="000000" w:sz="4" w:space="0"/>
              <w:bottom w:val="single" w:color="000000" w:sz="4" w:space="0"/>
              <w:right w:val="single" w:color="000000" w:sz="4" w:space="0"/>
            </w:tcBorders>
            <w:vAlign w:val="center"/>
          </w:tcPr>
          <w:p w14:paraId="5F6BA2AE">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1、支持高级别安全性的准入控制，如802.1X认证、DHCP认证等，并提供系统功能截图。</w:t>
            </w:r>
          </w:p>
          <w:p w14:paraId="17FC97CF">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2、镜像准入：支持网络镜像准入，准入设备旁路接入在核心交换机，通过获取核心的网络镜像数据来控制网络设备的准入，并提供系统功能截图。</w:t>
            </w:r>
          </w:p>
          <w:p w14:paraId="64A9DDEF">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3、VLAN准入：系统支持vlan准入，可以快速识别接入层交换机的终端接入，终端接入时，不需要访问任何网络数据，系统可以在侦测并报警，可根据测率对其进行放行或者阻断，并提供系统功能截图。</w:t>
            </w:r>
          </w:p>
          <w:p w14:paraId="164B9786">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4、提供Radius认证，支持无线控制器接入mac地址认证。</w:t>
            </w:r>
          </w:p>
          <w:p w14:paraId="09A66AB6">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5、提供DHCP服务器功能，支持分配地址IP-MAC静态绑定，并提供批量静态绑定功能。</w:t>
            </w:r>
          </w:p>
        </w:tc>
      </w:tr>
      <w:tr w14:paraId="25CC33DD">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3B20651">
            <w:pPr>
              <w:pStyle w:val="9"/>
              <w:ind w:firstLine="540"/>
              <w:jc w:val="left"/>
              <w:rPr>
                <w:rFonts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117" w:type="dxa"/>
            <w:tcBorders>
              <w:top w:val="single" w:color="000000" w:sz="4" w:space="0"/>
              <w:left w:val="single" w:color="000000" w:sz="4" w:space="0"/>
              <w:bottom w:val="single" w:color="000000" w:sz="4" w:space="0"/>
              <w:right w:val="single" w:color="000000" w:sz="4" w:space="0"/>
            </w:tcBorders>
            <w:vAlign w:val="center"/>
          </w:tcPr>
          <w:p w14:paraId="6A5F4A0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准入认证模式</w:t>
            </w:r>
          </w:p>
        </w:tc>
        <w:tc>
          <w:tcPr>
            <w:tcW w:w="7483" w:type="dxa"/>
            <w:tcBorders>
              <w:top w:val="single" w:color="000000" w:sz="4" w:space="0"/>
              <w:left w:val="single" w:color="000000" w:sz="4" w:space="0"/>
              <w:bottom w:val="single" w:color="000000" w:sz="4" w:space="0"/>
              <w:right w:val="single" w:color="000000" w:sz="4" w:space="0"/>
            </w:tcBorders>
            <w:vAlign w:val="center"/>
          </w:tcPr>
          <w:p w14:paraId="46344DE4">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1、客户端模式准入：终端需安装准入客户端并经合规检测后符合管理员指定的要求方可入网。</w:t>
            </w:r>
          </w:p>
          <w:p w14:paraId="3CC427B0">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2、无客户端模式准入：准入支持无客户端模式网络准入，精确识别所有网络设备并加以限制。</w:t>
            </w:r>
          </w:p>
        </w:tc>
      </w:tr>
      <w:tr w14:paraId="5F71501C">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3DC14C9">
            <w:pPr>
              <w:pStyle w:val="9"/>
              <w:ind w:firstLine="540"/>
              <w:jc w:val="left"/>
              <w:rPr>
                <w:rFonts w:ascii="微软雅黑" w:hAnsi="微软雅黑" w:eastAsia="微软雅黑" w:cs="微软雅黑"/>
                <w:sz w:val="21"/>
                <w:szCs w:val="21"/>
              </w:rPr>
            </w:pPr>
            <w:r>
              <w:rPr>
                <w:rFonts w:hint="eastAsia" w:ascii="微软雅黑" w:hAnsi="微软雅黑" w:eastAsia="微软雅黑" w:cs="微软雅黑"/>
                <w:sz w:val="21"/>
                <w:szCs w:val="21"/>
              </w:rPr>
              <w:t>5</w:t>
            </w:r>
          </w:p>
        </w:tc>
        <w:tc>
          <w:tcPr>
            <w:tcW w:w="1117" w:type="dxa"/>
            <w:tcBorders>
              <w:top w:val="single" w:color="000000" w:sz="4" w:space="0"/>
              <w:left w:val="single" w:color="000000" w:sz="4" w:space="0"/>
              <w:bottom w:val="single" w:color="000000" w:sz="4" w:space="0"/>
              <w:right w:val="single" w:color="000000" w:sz="4" w:space="0"/>
            </w:tcBorders>
            <w:vAlign w:val="center"/>
          </w:tcPr>
          <w:p w14:paraId="703D7D1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哑终端认证与防伪检查</w:t>
            </w:r>
          </w:p>
        </w:tc>
        <w:tc>
          <w:tcPr>
            <w:tcW w:w="7483" w:type="dxa"/>
            <w:tcBorders>
              <w:top w:val="single" w:color="000000" w:sz="4" w:space="0"/>
              <w:left w:val="single" w:color="000000" w:sz="4" w:space="0"/>
              <w:bottom w:val="single" w:color="000000" w:sz="4" w:space="0"/>
              <w:right w:val="single" w:color="000000" w:sz="4" w:space="0"/>
            </w:tcBorders>
            <w:vAlign w:val="center"/>
          </w:tcPr>
          <w:p w14:paraId="1C55CCAF">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1、系统支持对无线设备、自助机、信息屏等哑终端接入。</w:t>
            </w:r>
          </w:p>
          <w:p w14:paraId="5407940C">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2、系统能通过终端指纹识别技术鉴别非法哑终端并阻断其入网。</w:t>
            </w:r>
          </w:p>
          <w:p w14:paraId="5DC09989">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哑终端认证需注册并经管理员审核后方可入网。</w:t>
            </w:r>
          </w:p>
        </w:tc>
      </w:tr>
      <w:tr w14:paraId="5814CE6E">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54BAF13">
            <w:pPr>
              <w:pStyle w:val="9"/>
              <w:ind w:firstLine="540"/>
              <w:jc w:val="left"/>
              <w:rPr>
                <w:rFonts w:ascii="微软雅黑" w:hAnsi="微软雅黑" w:eastAsia="微软雅黑" w:cs="微软雅黑"/>
                <w:sz w:val="21"/>
                <w:szCs w:val="21"/>
              </w:rPr>
            </w:pPr>
            <w:r>
              <w:rPr>
                <w:rFonts w:hint="eastAsia" w:ascii="微软雅黑" w:hAnsi="微软雅黑" w:eastAsia="微软雅黑" w:cs="微软雅黑"/>
                <w:sz w:val="21"/>
                <w:szCs w:val="21"/>
              </w:rPr>
              <w:t>6</w:t>
            </w:r>
          </w:p>
        </w:tc>
        <w:tc>
          <w:tcPr>
            <w:tcW w:w="1117" w:type="dxa"/>
            <w:tcBorders>
              <w:top w:val="single" w:color="000000" w:sz="4" w:space="0"/>
              <w:left w:val="single" w:color="000000" w:sz="4" w:space="0"/>
              <w:bottom w:val="single" w:color="000000" w:sz="4" w:space="0"/>
              <w:right w:val="single" w:color="000000" w:sz="4" w:space="0"/>
            </w:tcBorders>
            <w:vAlign w:val="center"/>
          </w:tcPr>
          <w:p w14:paraId="3F6F938C">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▲全网资产统计与展示</w:t>
            </w:r>
          </w:p>
        </w:tc>
        <w:tc>
          <w:tcPr>
            <w:tcW w:w="7483" w:type="dxa"/>
            <w:tcBorders>
              <w:top w:val="single" w:color="000000" w:sz="4" w:space="0"/>
              <w:left w:val="single" w:color="000000" w:sz="4" w:space="0"/>
              <w:bottom w:val="single" w:color="000000" w:sz="4" w:space="0"/>
              <w:right w:val="single" w:color="000000" w:sz="4" w:space="0"/>
            </w:tcBorders>
            <w:vAlign w:val="center"/>
          </w:tcPr>
          <w:p w14:paraId="3C6232C5">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1、可以统计网络资产在线率和在线离线设备数量以及入网、阻断的设备数量和入网率。（须提供截图证明）</w:t>
            </w:r>
          </w:p>
          <w:p w14:paraId="5740A271">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2、以饼状图形式展示设备在线率，以饼状图形式展示设备入网率。（须提供截图证明）</w:t>
            </w:r>
          </w:p>
          <w:p w14:paraId="49BCF641">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3、系统可以在全网资产功能节点界面展示出网络设备ip、设备类型、系统信息、准入状态、入网规则、设备在线时长、最后网络活动时间、设备位置、是否IP/MAC绑定、设备添加时间、资产识别时间，阻断原因、交换机刷新时间、交换机缓存MAC地址。支持自定义设备类型，操作系统、位置信息。（须提供截图证明）</w:t>
            </w:r>
          </w:p>
        </w:tc>
      </w:tr>
      <w:tr w14:paraId="2DB6F446">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F8C8DA0">
            <w:pPr>
              <w:pStyle w:val="9"/>
              <w:ind w:firstLine="540"/>
              <w:jc w:val="left"/>
              <w:rPr>
                <w:rFonts w:ascii="微软雅黑" w:hAnsi="微软雅黑" w:eastAsia="微软雅黑" w:cs="微软雅黑"/>
                <w:sz w:val="21"/>
                <w:szCs w:val="21"/>
              </w:rPr>
            </w:pPr>
            <w:r>
              <w:rPr>
                <w:rFonts w:hint="eastAsia" w:ascii="微软雅黑" w:hAnsi="微软雅黑" w:eastAsia="微软雅黑" w:cs="微软雅黑"/>
                <w:sz w:val="21"/>
                <w:szCs w:val="21"/>
              </w:rPr>
              <w:t>7</w:t>
            </w:r>
          </w:p>
        </w:tc>
        <w:tc>
          <w:tcPr>
            <w:tcW w:w="1117" w:type="dxa"/>
            <w:tcBorders>
              <w:top w:val="single" w:color="000000" w:sz="4" w:space="0"/>
              <w:left w:val="single" w:color="000000" w:sz="4" w:space="0"/>
              <w:bottom w:val="single" w:color="000000" w:sz="4" w:space="0"/>
              <w:right w:val="single" w:color="000000" w:sz="4" w:space="0"/>
            </w:tcBorders>
            <w:vAlign w:val="center"/>
          </w:tcPr>
          <w:p w14:paraId="50987B2E">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IP地址池</w:t>
            </w:r>
          </w:p>
        </w:tc>
        <w:tc>
          <w:tcPr>
            <w:tcW w:w="7483" w:type="dxa"/>
            <w:tcBorders>
              <w:top w:val="single" w:color="000000" w:sz="4" w:space="0"/>
              <w:left w:val="single" w:color="000000" w:sz="4" w:space="0"/>
              <w:bottom w:val="single" w:color="000000" w:sz="4" w:space="0"/>
              <w:right w:val="single" w:color="000000" w:sz="4" w:space="0"/>
            </w:tcBorders>
            <w:vAlign w:val="center"/>
          </w:tcPr>
          <w:p w14:paraId="3116DDBF">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支持全网IP地址管理，以图形画形式展示每个网段内的IP使用情况并用不同设备图标展示占用IP的设备类型，包括：交换机、打印机、Windows/MacOS/信创/安卓/IOS系统设备、网桥、网关、存储、路由器、虚拟机、调制解调器、NAS、UNIX，鼠标挪动在相应IP上可展示当前IP的设备MAC地址信息、设备类型信息和操作系统信息。</w:t>
            </w:r>
          </w:p>
        </w:tc>
      </w:tr>
      <w:tr w14:paraId="2A12A8DC">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064219D6">
            <w:pPr>
              <w:pStyle w:val="9"/>
              <w:ind w:firstLine="540"/>
              <w:jc w:val="left"/>
              <w:rPr>
                <w:rFonts w:ascii="微软雅黑" w:hAnsi="微软雅黑" w:eastAsia="微软雅黑" w:cs="微软雅黑"/>
                <w:sz w:val="21"/>
                <w:szCs w:val="21"/>
              </w:rPr>
            </w:pPr>
            <w:r>
              <w:rPr>
                <w:rFonts w:hint="eastAsia" w:ascii="微软雅黑" w:hAnsi="微软雅黑" w:eastAsia="微软雅黑" w:cs="微软雅黑"/>
                <w:sz w:val="21"/>
                <w:szCs w:val="21"/>
              </w:rPr>
              <w:t>8</w:t>
            </w:r>
          </w:p>
        </w:tc>
        <w:tc>
          <w:tcPr>
            <w:tcW w:w="1117" w:type="dxa"/>
            <w:tcBorders>
              <w:top w:val="single" w:color="000000" w:sz="4" w:space="0"/>
              <w:left w:val="single" w:color="000000" w:sz="4" w:space="0"/>
              <w:bottom w:val="single" w:color="000000" w:sz="4" w:space="0"/>
              <w:right w:val="single" w:color="000000" w:sz="4" w:space="0"/>
            </w:tcBorders>
            <w:vAlign w:val="center"/>
          </w:tcPr>
          <w:p w14:paraId="52A77585">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入网模式</w:t>
            </w:r>
          </w:p>
        </w:tc>
        <w:tc>
          <w:tcPr>
            <w:tcW w:w="7483" w:type="dxa"/>
            <w:tcBorders>
              <w:top w:val="single" w:color="000000" w:sz="4" w:space="0"/>
              <w:left w:val="single" w:color="000000" w:sz="4" w:space="0"/>
              <w:bottom w:val="single" w:color="000000" w:sz="4" w:space="0"/>
              <w:right w:val="single" w:color="000000" w:sz="4" w:space="0"/>
            </w:tcBorders>
            <w:vAlign w:val="center"/>
          </w:tcPr>
          <w:p w14:paraId="3DF1FBFB">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系统支持自定义制作入网策略，通过阻断客户端入网、安全基线检测、客户端注册身份认证、入网审批等策略及流程达到合规入网。</w:t>
            </w:r>
          </w:p>
        </w:tc>
      </w:tr>
      <w:tr w14:paraId="665DE08F">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8AB9C96">
            <w:pPr>
              <w:pStyle w:val="9"/>
              <w:ind w:firstLine="540"/>
              <w:jc w:val="left"/>
              <w:rPr>
                <w:rFonts w:ascii="微软雅黑" w:hAnsi="微软雅黑" w:eastAsia="微软雅黑" w:cs="微软雅黑"/>
                <w:sz w:val="21"/>
                <w:szCs w:val="21"/>
              </w:rPr>
            </w:pPr>
            <w:r>
              <w:rPr>
                <w:rFonts w:hint="eastAsia" w:ascii="微软雅黑" w:hAnsi="微软雅黑" w:eastAsia="微软雅黑" w:cs="微软雅黑"/>
                <w:sz w:val="21"/>
                <w:szCs w:val="21"/>
              </w:rPr>
              <w:t>9</w:t>
            </w:r>
          </w:p>
        </w:tc>
        <w:tc>
          <w:tcPr>
            <w:tcW w:w="1117" w:type="dxa"/>
            <w:tcBorders>
              <w:top w:val="single" w:color="000000" w:sz="4" w:space="0"/>
              <w:left w:val="single" w:color="000000" w:sz="4" w:space="0"/>
              <w:bottom w:val="single" w:color="000000" w:sz="4" w:space="0"/>
              <w:right w:val="single" w:color="000000" w:sz="4" w:space="0"/>
            </w:tcBorders>
            <w:vAlign w:val="center"/>
          </w:tcPr>
          <w:p w14:paraId="2A83BF25">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入网日志</w:t>
            </w:r>
          </w:p>
        </w:tc>
        <w:tc>
          <w:tcPr>
            <w:tcW w:w="7483" w:type="dxa"/>
            <w:tcBorders>
              <w:top w:val="single" w:color="000000" w:sz="4" w:space="0"/>
              <w:left w:val="single" w:color="000000" w:sz="4" w:space="0"/>
              <w:bottom w:val="single" w:color="000000" w:sz="4" w:space="0"/>
              <w:right w:val="single" w:color="000000" w:sz="4" w:space="0"/>
            </w:tcBorders>
            <w:vAlign w:val="center"/>
          </w:tcPr>
          <w:p w14:paraId="66719020">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系统可记录设备入网时间以及设备入网时网络状态，可记录网络设备入网阻断及网络放行的原因。</w:t>
            </w:r>
          </w:p>
        </w:tc>
      </w:tr>
      <w:tr w14:paraId="4131C1B8">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5BA3D83">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117" w:type="dxa"/>
            <w:tcBorders>
              <w:top w:val="single" w:color="000000" w:sz="4" w:space="0"/>
              <w:left w:val="single" w:color="000000" w:sz="4" w:space="0"/>
              <w:bottom w:val="single" w:color="000000" w:sz="4" w:space="0"/>
              <w:right w:val="single" w:color="000000" w:sz="4" w:space="0"/>
            </w:tcBorders>
            <w:vAlign w:val="center"/>
          </w:tcPr>
          <w:p w14:paraId="4B9E9002">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网络设备管理</w:t>
            </w:r>
          </w:p>
        </w:tc>
        <w:tc>
          <w:tcPr>
            <w:tcW w:w="7483" w:type="dxa"/>
            <w:tcBorders>
              <w:top w:val="single" w:color="000000" w:sz="4" w:space="0"/>
              <w:left w:val="single" w:color="000000" w:sz="4" w:space="0"/>
              <w:bottom w:val="single" w:color="000000" w:sz="4" w:space="0"/>
              <w:right w:val="single" w:color="000000" w:sz="4" w:space="0"/>
            </w:tcBorders>
            <w:vAlign w:val="center"/>
          </w:tcPr>
          <w:p w14:paraId="347E5AB1">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可以添加网络交换机设备，显示交换机的在线情况，通过设置SNMP协议获取并以图像形式展示当前交换机的网口使用情况，如连接以及多连接情况以及交换机下所有网络设备真实的IP/Mac地址。可显示网络交换机的位置信息、产品型号、运行时间等。可详细记录交换机的端口信息、VLAN信息（包括VLAN名称）、IP地址表、路由表、转发表、ARP表信息。</w:t>
            </w:r>
          </w:p>
        </w:tc>
      </w:tr>
      <w:tr w14:paraId="1BD79DC8">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9871B16">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1117" w:type="dxa"/>
            <w:tcBorders>
              <w:top w:val="single" w:color="000000" w:sz="4" w:space="0"/>
              <w:left w:val="single" w:color="000000" w:sz="4" w:space="0"/>
              <w:bottom w:val="single" w:color="000000" w:sz="4" w:space="0"/>
              <w:right w:val="single" w:color="000000" w:sz="4" w:space="0"/>
            </w:tcBorders>
            <w:vAlign w:val="center"/>
          </w:tcPr>
          <w:p w14:paraId="2BA89A37">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安全态势</w:t>
            </w:r>
          </w:p>
        </w:tc>
        <w:tc>
          <w:tcPr>
            <w:tcW w:w="7483" w:type="dxa"/>
            <w:tcBorders>
              <w:top w:val="single" w:color="000000" w:sz="4" w:space="0"/>
              <w:left w:val="single" w:color="000000" w:sz="4" w:space="0"/>
              <w:bottom w:val="single" w:color="000000" w:sz="4" w:space="0"/>
              <w:right w:val="single" w:color="000000" w:sz="4" w:space="0"/>
            </w:tcBorders>
            <w:vAlign w:val="center"/>
          </w:tcPr>
          <w:p w14:paraId="49D9A2D5">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对于未经授权的设备，准入系统可识别并报警。包括终端的IP地址变化、MAC地址变化、终端设备变化。</w:t>
            </w:r>
          </w:p>
          <w:p w14:paraId="0F752C3D">
            <w:pPr>
              <w:pStyle w:val="9"/>
              <w:ind w:firstLine="540"/>
              <w:rPr>
                <w:rFonts w:ascii="微软雅黑" w:hAnsi="微软雅黑" w:eastAsia="微软雅黑" w:cs="微软雅黑"/>
                <w:sz w:val="21"/>
                <w:szCs w:val="21"/>
              </w:rPr>
            </w:pPr>
          </w:p>
        </w:tc>
      </w:tr>
      <w:tr w14:paraId="41DF252A">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7A9A3A9">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1117" w:type="dxa"/>
            <w:tcBorders>
              <w:top w:val="single" w:color="000000" w:sz="4" w:space="0"/>
              <w:left w:val="single" w:color="000000" w:sz="4" w:space="0"/>
              <w:bottom w:val="single" w:color="000000" w:sz="4" w:space="0"/>
              <w:right w:val="single" w:color="000000" w:sz="4" w:space="0"/>
            </w:tcBorders>
            <w:vAlign w:val="center"/>
          </w:tcPr>
          <w:p w14:paraId="2DD691C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外联准入</w:t>
            </w:r>
          </w:p>
        </w:tc>
        <w:tc>
          <w:tcPr>
            <w:tcW w:w="7483" w:type="dxa"/>
            <w:tcBorders>
              <w:top w:val="single" w:color="000000" w:sz="4" w:space="0"/>
              <w:left w:val="single" w:color="000000" w:sz="4" w:space="0"/>
              <w:bottom w:val="single" w:color="000000" w:sz="4" w:space="0"/>
              <w:right w:val="single" w:color="000000" w:sz="4" w:space="0"/>
            </w:tcBorders>
            <w:vAlign w:val="center"/>
          </w:tcPr>
          <w:p w14:paraId="1208D6BE">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提供外联准入功能，终端不需要安装客户端即可检测终端违规外联情况，可对该情况进行报警。系统可记录网络设备违规外联的时间，以及外联访问的域名信息。支持例外指定域名检测，包括外联设备的IP地址、MAC地址、设备类型、外联发生时间。</w:t>
            </w:r>
          </w:p>
        </w:tc>
      </w:tr>
      <w:tr w14:paraId="02DD285E">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A61575E">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13</w:t>
            </w:r>
          </w:p>
        </w:tc>
        <w:tc>
          <w:tcPr>
            <w:tcW w:w="1117" w:type="dxa"/>
            <w:tcBorders>
              <w:top w:val="single" w:color="000000" w:sz="4" w:space="0"/>
              <w:left w:val="single" w:color="000000" w:sz="4" w:space="0"/>
              <w:bottom w:val="single" w:color="000000" w:sz="4" w:space="0"/>
              <w:right w:val="single" w:color="000000" w:sz="4" w:space="0"/>
            </w:tcBorders>
            <w:vAlign w:val="center"/>
          </w:tcPr>
          <w:p w14:paraId="02C3E270">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阻断页面</w:t>
            </w:r>
          </w:p>
        </w:tc>
        <w:tc>
          <w:tcPr>
            <w:tcW w:w="7483" w:type="dxa"/>
            <w:tcBorders>
              <w:top w:val="single" w:color="000000" w:sz="4" w:space="0"/>
              <w:left w:val="single" w:color="000000" w:sz="4" w:space="0"/>
              <w:bottom w:val="single" w:color="000000" w:sz="4" w:space="0"/>
              <w:right w:val="single" w:color="000000" w:sz="4" w:space="0"/>
            </w:tcBorders>
            <w:vAlign w:val="center"/>
          </w:tcPr>
          <w:p w14:paraId="26EC7765">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系统可灵活设置准入阻断页面以及页面内容，提供四种阻断页面设置类型，包括：仅提示阻断；提示阻断并提示下载客户端；阻断并提示账号登录；阻断并提示访客登录。</w:t>
            </w:r>
          </w:p>
        </w:tc>
      </w:tr>
      <w:tr w14:paraId="243E5F61">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AC8E666">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14</w:t>
            </w:r>
          </w:p>
        </w:tc>
        <w:tc>
          <w:tcPr>
            <w:tcW w:w="1117" w:type="dxa"/>
            <w:tcBorders>
              <w:top w:val="single" w:color="000000" w:sz="4" w:space="0"/>
              <w:left w:val="single" w:color="000000" w:sz="4" w:space="0"/>
              <w:bottom w:val="single" w:color="000000" w:sz="4" w:space="0"/>
              <w:right w:val="single" w:color="000000" w:sz="4" w:space="0"/>
            </w:tcBorders>
            <w:vAlign w:val="center"/>
          </w:tcPr>
          <w:p w14:paraId="7C136B37">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终端软件安装</w:t>
            </w:r>
          </w:p>
        </w:tc>
        <w:tc>
          <w:tcPr>
            <w:tcW w:w="7483" w:type="dxa"/>
            <w:tcBorders>
              <w:top w:val="single" w:color="000000" w:sz="4" w:space="0"/>
              <w:left w:val="single" w:color="000000" w:sz="4" w:space="0"/>
              <w:bottom w:val="single" w:color="000000" w:sz="4" w:space="0"/>
              <w:right w:val="single" w:color="000000" w:sz="4" w:space="0"/>
            </w:tcBorders>
            <w:vAlign w:val="center"/>
          </w:tcPr>
          <w:p w14:paraId="29020906">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提供软件下载中心，对系统检测不合规终端可按管理员要求进行软件安装。</w:t>
            </w:r>
          </w:p>
        </w:tc>
      </w:tr>
      <w:tr w14:paraId="5F48E3EE">
        <w:tblPrEx>
          <w:tblCellMar>
            <w:top w:w="0" w:type="dxa"/>
            <w:left w:w="108" w:type="dxa"/>
            <w:bottom w:w="0" w:type="dxa"/>
            <w:right w:w="108" w:type="dxa"/>
          </w:tblCellMar>
        </w:tblPrEx>
        <w:trPr>
          <w:trHeight w:val="2467"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D12F6FB">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15</w:t>
            </w:r>
          </w:p>
        </w:tc>
        <w:tc>
          <w:tcPr>
            <w:tcW w:w="1117" w:type="dxa"/>
            <w:tcBorders>
              <w:top w:val="single" w:color="000000" w:sz="4" w:space="0"/>
              <w:left w:val="single" w:color="000000" w:sz="4" w:space="0"/>
              <w:bottom w:val="single" w:color="000000" w:sz="4" w:space="0"/>
              <w:right w:val="single" w:color="000000" w:sz="4" w:space="0"/>
            </w:tcBorders>
            <w:vAlign w:val="center"/>
          </w:tcPr>
          <w:p w14:paraId="455FE647">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▲安全基线检查</w:t>
            </w:r>
          </w:p>
        </w:tc>
        <w:tc>
          <w:tcPr>
            <w:tcW w:w="7483" w:type="dxa"/>
            <w:tcBorders>
              <w:top w:val="single" w:color="000000" w:sz="4" w:space="0"/>
              <w:left w:val="single" w:color="000000" w:sz="4" w:space="0"/>
              <w:bottom w:val="single" w:color="000000" w:sz="4" w:space="0"/>
              <w:right w:val="single" w:color="000000" w:sz="4" w:space="0"/>
            </w:tcBorders>
            <w:vAlign w:val="center"/>
          </w:tcPr>
          <w:p w14:paraId="4BAD3853">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终端安装准入客户端可进行安全基线检测，检测内容包括系统版本检测，防火墙开关检测、计算机名称前缀检测、域规则检测、IE代理检测、安装软件检测、运行程序检测、补丁检测、文件检测以及注册表信息检测。支持自定义检测内容。系统对终端检测后，验证合规，合规则入网，不合规禁止入网，检测不合规时即时阻断终端入网，并在管理端与终端同时弹窗提示详细违规信息，增加跳转网页链接，可下载管理员要求的合规项软件进行安装，终端完成管理员规定的合规要求并通过管理员进行身份确认后方可入网。（须提供截图证明）</w:t>
            </w:r>
          </w:p>
        </w:tc>
      </w:tr>
      <w:tr w14:paraId="55C4BC6E">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E960869">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16</w:t>
            </w:r>
          </w:p>
        </w:tc>
        <w:tc>
          <w:tcPr>
            <w:tcW w:w="1117" w:type="dxa"/>
            <w:tcBorders>
              <w:top w:val="single" w:color="000000" w:sz="4" w:space="0"/>
              <w:left w:val="single" w:color="000000" w:sz="4" w:space="0"/>
              <w:bottom w:val="single" w:color="000000" w:sz="4" w:space="0"/>
              <w:right w:val="single" w:color="000000" w:sz="4" w:space="0"/>
            </w:tcBorders>
            <w:vAlign w:val="center"/>
          </w:tcPr>
          <w:p w14:paraId="352DE4D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访客申请认证</w:t>
            </w:r>
          </w:p>
        </w:tc>
        <w:tc>
          <w:tcPr>
            <w:tcW w:w="7483" w:type="dxa"/>
            <w:tcBorders>
              <w:top w:val="single" w:color="000000" w:sz="4" w:space="0"/>
              <w:left w:val="single" w:color="000000" w:sz="4" w:space="0"/>
              <w:bottom w:val="single" w:color="000000" w:sz="4" w:space="0"/>
              <w:right w:val="single" w:color="000000" w:sz="4" w:space="0"/>
            </w:tcBorders>
            <w:vAlign w:val="center"/>
          </w:tcPr>
          <w:p w14:paraId="597AC92E">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第三方外来接入设备可进行临时访客认证，管理员可根据申请信息进行临时放行终端入网。可自定义设置临时入网时间。</w:t>
            </w:r>
          </w:p>
        </w:tc>
      </w:tr>
      <w:tr w14:paraId="19DCB2FF">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65223FD">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17</w:t>
            </w:r>
          </w:p>
        </w:tc>
        <w:tc>
          <w:tcPr>
            <w:tcW w:w="1117" w:type="dxa"/>
            <w:tcBorders>
              <w:top w:val="single" w:color="000000" w:sz="4" w:space="0"/>
              <w:left w:val="single" w:color="000000" w:sz="4" w:space="0"/>
              <w:bottom w:val="single" w:color="000000" w:sz="4" w:space="0"/>
              <w:right w:val="single" w:color="000000" w:sz="4" w:space="0"/>
            </w:tcBorders>
            <w:vAlign w:val="center"/>
          </w:tcPr>
          <w:p w14:paraId="585AF99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入网流程</w:t>
            </w:r>
          </w:p>
        </w:tc>
        <w:tc>
          <w:tcPr>
            <w:tcW w:w="7483" w:type="dxa"/>
            <w:tcBorders>
              <w:top w:val="single" w:color="000000" w:sz="4" w:space="0"/>
              <w:left w:val="single" w:color="000000" w:sz="4" w:space="0"/>
              <w:bottom w:val="single" w:color="000000" w:sz="4" w:space="0"/>
              <w:right w:val="single" w:color="000000" w:sz="4" w:space="0"/>
            </w:tcBorders>
            <w:vAlign w:val="center"/>
          </w:tcPr>
          <w:p w14:paraId="1F8B2A62">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以图形化展示入网流程策略设置包括以下节点：1、阻断；2、安全基线检测；3、身份认证；4、入网审批；5、成功入网。其中安全基线检测和身份认证两个节点可以点击选择相关策略。身份认证和入网审批可以点击开启或关闭。</w:t>
            </w:r>
          </w:p>
        </w:tc>
      </w:tr>
      <w:tr w14:paraId="329A7ECF">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C7A0FA3">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18</w:t>
            </w:r>
          </w:p>
        </w:tc>
        <w:tc>
          <w:tcPr>
            <w:tcW w:w="1117" w:type="dxa"/>
            <w:tcBorders>
              <w:top w:val="single" w:color="000000" w:sz="4" w:space="0"/>
              <w:left w:val="single" w:color="000000" w:sz="4" w:space="0"/>
              <w:bottom w:val="single" w:color="000000" w:sz="4" w:space="0"/>
              <w:right w:val="single" w:color="000000" w:sz="4" w:space="0"/>
            </w:tcBorders>
            <w:vAlign w:val="center"/>
          </w:tcPr>
          <w:p w14:paraId="0FE22F9B">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入网审批</w:t>
            </w:r>
          </w:p>
        </w:tc>
        <w:tc>
          <w:tcPr>
            <w:tcW w:w="7483" w:type="dxa"/>
            <w:tcBorders>
              <w:top w:val="single" w:color="000000" w:sz="4" w:space="0"/>
              <w:left w:val="single" w:color="000000" w:sz="4" w:space="0"/>
              <w:bottom w:val="single" w:color="000000" w:sz="4" w:space="0"/>
              <w:right w:val="single" w:color="000000" w:sz="4" w:space="0"/>
            </w:tcBorders>
            <w:vAlign w:val="center"/>
          </w:tcPr>
          <w:p w14:paraId="58C40E6E">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系统可将终端身份注册信息以及安全基线检查结果反馈在入网审核界面。管理人员可根据这些信息来确认终端是否可以放行入网。</w:t>
            </w:r>
          </w:p>
        </w:tc>
      </w:tr>
      <w:tr w14:paraId="57C1E995">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35F0BAB">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19</w:t>
            </w:r>
          </w:p>
        </w:tc>
        <w:tc>
          <w:tcPr>
            <w:tcW w:w="1117" w:type="dxa"/>
            <w:tcBorders>
              <w:top w:val="single" w:color="000000" w:sz="4" w:space="0"/>
              <w:left w:val="single" w:color="000000" w:sz="4" w:space="0"/>
              <w:bottom w:val="single" w:color="000000" w:sz="4" w:space="0"/>
              <w:right w:val="single" w:color="000000" w:sz="4" w:space="0"/>
            </w:tcBorders>
            <w:vAlign w:val="center"/>
          </w:tcPr>
          <w:p w14:paraId="44F29EC1">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组织结构</w:t>
            </w:r>
          </w:p>
        </w:tc>
        <w:tc>
          <w:tcPr>
            <w:tcW w:w="7483" w:type="dxa"/>
            <w:tcBorders>
              <w:top w:val="single" w:color="000000" w:sz="4" w:space="0"/>
              <w:left w:val="single" w:color="000000" w:sz="4" w:space="0"/>
              <w:bottom w:val="single" w:color="000000" w:sz="4" w:space="0"/>
              <w:right w:val="single" w:color="000000" w:sz="4" w:space="0"/>
            </w:tcBorders>
            <w:vAlign w:val="center"/>
          </w:tcPr>
          <w:p w14:paraId="3628021C">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系统支持创建相应用户以及部门，可灵活设置每个功能的账号权限，方便限制子账号运维权限。</w:t>
            </w:r>
          </w:p>
        </w:tc>
      </w:tr>
      <w:tr w14:paraId="67A79EB4">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61F8BC2">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20</w:t>
            </w:r>
          </w:p>
        </w:tc>
        <w:tc>
          <w:tcPr>
            <w:tcW w:w="1117" w:type="dxa"/>
            <w:tcBorders>
              <w:top w:val="single" w:color="000000" w:sz="4" w:space="0"/>
              <w:left w:val="single" w:color="000000" w:sz="4" w:space="0"/>
              <w:bottom w:val="single" w:color="000000" w:sz="4" w:space="0"/>
              <w:right w:val="single" w:color="000000" w:sz="4" w:space="0"/>
            </w:tcBorders>
            <w:vAlign w:val="center"/>
          </w:tcPr>
          <w:p w14:paraId="7724987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日志管理</w:t>
            </w:r>
          </w:p>
        </w:tc>
        <w:tc>
          <w:tcPr>
            <w:tcW w:w="7483" w:type="dxa"/>
            <w:tcBorders>
              <w:top w:val="single" w:color="000000" w:sz="4" w:space="0"/>
              <w:left w:val="single" w:color="000000" w:sz="4" w:space="0"/>
              <w:bottom w:val="single" w:color="000000" w:sz="4" w:space="0"/>
              <w:right w:val="single" w:color="000000" w:sz="4" w:space="0"/>
            </w:tcBorders>
            <w:vAlign w:val="center"/>
          </w:tcPr>
          <w:p w14:paraId="7262297A">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系统可记录所有账号的登录和操作以及账号登录的IP地址、操作时间。</w:t>
            </w:r>
          </w:p>
        </w:tc>
      </w:tr>
      <w:tr w14:paraId="7BC5657E">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7EABE63">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21</w:t>
            </w:r>
          </w:p>
        </w:tc>
        <w:tc>
          <w:tcPr>
            <w:tcW w:w="1117" w:type="dxa"/>
            <w:tcBorders>
              <w:top w:val="single" w:color="000000" w:sz="4" w:space="0"/>
              <w:left w:val="single" w:color="000000" w:sz="4" w:space="0"/>
              <w:bottom w:val="single" w:color="000000" w:sz="4" w:space="0"/>
              <w:right w:val="single" w:color="000000" w:sz="4" w:space="0"/>
            </w:tcBorders>
            <w:vAlign w:val="center"/>
          </w:tcPr>
          <w:p w14:paraId="25961E6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登录日志</w:t>
            </w:r>
          </w:p>
        </w:tc>
        <w:tc>
          <w:tcPr>
            <w:tcW w:w="7483" w:type="dxa"/>
            <w:tcBorders>
              <w:top w:val="single" w:color="000000" w:sz="4" w:space="0"/>
              <w:left w:val="single" w:color="000000" w:sz="4" w:space="0"/>
              <w:bottom w:val="single" w:color="000000" w:sz="4" w:space="0"/>
              <w:right w:val="single" w:color="000000" w:sz="4" w:space="0"/>
            </w:tcBorders>
            <w:vAlign w:val="center"/>
          </w:tcPr>
          <w:p w14:paraId="2DF69448">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系统可记录终端游客账号以及认证账号的登录IP、设备类型、操作系统、Mac地址、登录时间、登录信息以及账号登录类型。</w:t>
            </w:r>
          </w:p>
        </w:tc>
      </w:tr>
      <w:tr w14:paraId="7C5AE15F">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77BADCE">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22</w:t>
            </w:r>
          </w:p>
        </w:tc>
        <w:tc>
          <w:tcPr>
            <w:tcW w:w="1117" w:type="dxa"/>
            <w:tcBorders>
              <w:top w:val="single" w:color="000000" w:sz="4" w:space="0"/>
              <w:left w:val="single" w:color="000000" w:sz="4" w:space="0"/>
              <w:bottom w:val="single" w:color="000000" w:sz="4" w:space="0"/>
              <w:right w:val="single" w:color="000000" w:sz="4" w:space="0"/>
            </w:tcBorders>
            <w:vAlign w:val="center"/>
          </w:tcPr>
          <w:p w14:paraId="2DF3BB8E">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系统信息</w:t>
            </w:r>
          </w:p>
        </w:tc>
        <w:tc>
          <w:tcPr>
            <w:tcW w:w="7483" w:type="dxa"/>
            <w:tcBorders>
              <w:top w:val="single" w:color="000000" w:sz="4" w:space="0"/>
              <w:left w:val="single" w:color="000000" w:sz="4" w:space="0"/>
              <w:bottom w:val="single" w:color="000000" w:sz="4" w:space="0"/>
              <w:right w:val="single" w:color="000000" w:sz="4" w:space="0"/>
            </w:tcBorders>
            <w:vAlign w:val="center"/>
          </w:tcPr>
          <w:p w14:paraId="35D98DA2">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管理端可以查看客户端的系统信息、IP地址、MAC地址、客户端版本号、CPU/内存/硬盘温度。</w:t>
            </w:r>
          </w:p>
        </w:tc>
      </w:tr>
      <w:tr w14:paraId="1A81A172">
        <w:tblPrEx>
          <w:tblCellMar>
            <w:top w:w="0" w:type="dxa"/>
            <w:left w:w="108" w:type="dxa"/>
            <w:bottom w:w="0" w:type="dxa"/>
            <w:right w:w="108" w:type="dxa"/>
          </w:tblCellMar>
        </w:tblPrEx>
        <w:trPr>
          <w:trHeight w:val="96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40C81BB">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23</w:t>
            </w:r>
          </w:p>
        </w:tc>
        <w:tc>
          <w:tcPr>
            <w:tcW w:w="1117" w:type="dxa"/>
            <w:tcBorders>
              <w:top w:val="single" w:color="000000" w:sz="4" w:space="0"/>
              <w:left w:val="single" w:color="000000" w:sz="4" w:space="0"/>
              <w:bottom w:val="single" w:color="000000" w:sz="4" w:space="0"/>
              <w:right w:val="single" w:color="000000" w:sz="4" w:space="0"/>
            </w:tcBorders>
            <w:vAlign w:val="center"/>
          </w:tcPr>
          <w:p w14:paraId="20B55F62">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▲远程屏幕协助</w:t>
            </w:r>
          </w:p>
        </w:tc>
        <w:tc>
          <w:tcPr>
            <w:tcW w:w="7483" w:type="dxa"/>
            <w:tcBorders>
              <w:top w:val="single" w:color="000000" w:sz="4" w:space="0"/>
              <w:left w:val="single" w:color="000000" w:sz="4" w:space="0"/>
              <w:bottom w:val="single" w:color="000000" w:sz="4" w:space="0"/>
              <w:right w:val="single" w:color="000000" w:sz="4" w:space="0"/>
            </w:tcBorders>
            <w:vAlign w:val="center"/>
          </w:tcPr>
          <w:p w14:paraId="76965583">
            <w:pPr>
              <w:pStyle w:val="9"/>
              <w:ind w:firstLine="540"/>
              <w:rPr>
                <w:rFonts w:ascii="微软雅黑" w:hAnsi="微软雅黑" w:eastAsia="微软雅黑" w:cs="微软雅黑"/>
                <w:bCs/>
                <w:sz w:val="21"/>
                <w:szCs w:val="21"/>
              </w:rPr>
            </w:pPr>
            <w:r>
              <w:rPr>
                <w:rFonts w:hint="eastAsia" w:ascii="微软雅黑" w:hAnsi="微软雅黑" w:eastAsia="微软雅黑" w:cs="微软雅黑"/>
                <w:bCs/>
                <w:sz w:val="21"/>
                <w:szCs w:val="21"/>
              </w:rPr>
              <w:t>管理员可以快速接对于终端进行远程控制；</w:t>
            </w:r>
          </w:p>
          <w:p w14:paraId="14A6E24D">
            <w:pPr>
              <w:pStyle w:val="9"/>
              <w:ind w:firstLine="540"/>
              <w:rPr>
                <w:rFonts w:ascii="微软雅黑" w:hAnsi="微软雅黑" w:eastAsia="微软雅黑" w:cs="微软雅黑"/>
                <w:bCs/>
                <w:sz w:val="21"/>
                <w:szCs w:val="21"/>
              </w:rPr>
            </w:pPr>
            <w:r>
              <w:rPr>
                <w:rFonts w:hint="eastAsia" w:ascii="微软雅黑" w:hAnsi="微软雅黑" w:eastAsia="微软雅黑" w:cs="微软雅黑"/>
                <w:bCs/>
                <w:sz w:val="21"/>
                <w:szCs w:val="21"/>
              </w:rPr>
              <w:t>当对终端计算机进行远程控制时，客户互传终端计算机中的文件；</w:t>
            </w:r>
          </w:p>
          <w:p w14:paraId="17006386">
            <w:pPr>
              <w:pStyle w:val="9"/>
              <w:ind w:firstLine="540"/>
              <w:rPr>
                <w:rFonts w:ascii="微软雅黑" w:hAnsi="微软雅黑" w:eastAsia="微软雅黑" w:cs="微软雅黑"/>
                <w:bCs/>
                <w:sz w:val="21"/>
                <w:szCs w:val="21"/>
              </w:rPr>
            </w:pPr>
            <w:r>
              <w:rPr>
                <w:rFonts w:hint="eastAsia" w:ascii="微软雅黑" w:hAnsi="微软雅黑" w:eastAsia="微软雅黑" w:cs="微软雅黑"/>
                <w:bCs/>
                <w:sz w:val="21"/>
                <w:szCs w:val="21"/>
              </w:rPr>
              <w:t>针对终端为双屏的电脑，管理员可以点击主/副屏切换进行控制；</w:t>
            </w:r>
          </w:p>
          <w:p w14:paraId="06E93438">
            <w:pPr>
              <w:pStyle w:val="9"/>
              <w:ind w:firstLine="540"/>
              <w:rPr>
                <w:rFonts w:ascii="微软雅黑" w:hAnsi="微软雅黑" w:eastAsia="微软雅黑" w:cs="微软雅黑"/>
                <w:bCs/>
                <w:sz w:val="21"/>
                <w:szCs w:val="21"/>
              </w:rPr>
            </w:pPr>
            <w:r>
              <w:rPr>
                <w:rFonts w:hint="eastAsia" w:ascii="微软雅黑" w:hAnsi="微软雅黑" w:eastAsia="微软雅黑" w:cs="微软雅黑"/>
                <w:bCs/>
                <w:sz w:val="21"/>
                <w:szCs w:val="21"/>
              </w:rPr>
              <w:t>管理员可以将本地文件拖拽到远程协助对话框时间文件传输；</w:t>
            </w:r>
          </w:p>
          <w:p w14:paraId="1502F29D">
            <w:pPr>
              <w:pStyle w:val="9"/>
              <w:ind w:firstLine="540"/>
              <w:rPr>
                <w:rFonts w:ascii="微软雅黑" w:hAnsi="微软雅黑" w:eastAsia="微软雅黑" w:cs="微软雅黑"/>
              </w:rPr>
            </w:pPr>
            <w:r>
              <w:rPr>
                <w:rFonts w:hint="eastAsia" w:ascii="微软雅黑" w:hAnsi="微软雅黑" w:eastAsia="微软雅黑" w:cs="微软雅黑"/>
                <w:bCs/>
                <w:sz w:val="21"/>
                <w:szCs w:val="21"/>
              </w:rPr>
              <w:t>可以使用自带得电子白板功能，在远程得时候在用户的屏幕上层做画线、输入文字等操作。</w:t>
            </w:r>
          </w:p>
          <w:p w14:paraId="739E2289">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（须提供截图证明）</w:t>
            </w:r>
          </w:p>
        </w:tc>
      </w:tr>
      <w:tr w14:paraId="73517489">
        <w:tblPrEx>
          <w:tblCellMar>
            <w:top w:w="0" w:type="dxa"/>
            <w:left w:w="108" w:type="dxa"/>
            <w:bottom w:w="0" w:type="dxa"/>
            <w:right w:w="108" w:type="dxa"/>
          </w:tblCellMar>
        </w:tblPrEx>
        <w:trPr>
          <w:trHeight w:val="96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DCD6D9E">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24</w:t>
            </w:r>
          </w:p>
        </w:tc>
        <w:tc>
          <w:tcPr>
            <w:tcW w:w="1117" w:type="dxa"/>
            <w:tcBorders>
              <w:top w:val="single" w:color="000000" w:sz="4" w:space="0"/>
              <w:left w:val="single" w:color="000000" w:sz="4" w:space="0"/>
              <w:bottom w:val="single" w:color="000000" w:sz="4" w:space="0"/>
              <w:right w:val="single" w:color="000000" w:sz="4" w:space="0"/>
            </w:tcBorders>
            <w:vAlign w:val="center"/>
          </w:tcPr>
          <w:p w14:paraId="536B48A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★远程协助安卓设备</w:t>
            </w:r>
          </w:p>
        </w:tc>
        <w:tc>
          <w:tcPr>
            <w:tcW w:w="7483" w:type="dxa"/>
            <w:tcBorders>
              <w:top w:val="single" w:color="000000" w:sz="4" w:space="0"/>
              <w:left w:val="single" w:color="000000" w:sz="4" w:space="0"/>
              <w:bottom w:val="single" w:color="000000" w:sz="4" w:space="0"/>
              <w:right w:val="single" w:color="000000" w:sz="4" w:space="0"/>
            </w:tcBorders>
            <w:vAlign w:val="center"/>
          </w:tcPr>
          <w:p w14:paraId="0BC436D9">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管理员可以对于医院的安卓系统的PDA和诊间屏进行远程屏幕控制，管理员可以在一秒内接管移动设备的屏幕，控制速度快，无卡顿；在远程协助时候，可以开启文件互传功能，实现管理员Windows电脑和安卓终端的文件互传。（须提供截图证明）</w:t>
            </w:r>
          </w:p>
        </w:tc>
      </w:tr>
      <w:tr w14:paraId="74AAF47D">
        <w:tblPrEx>
          <w:tblCellMar>
            <w:top w:w="0" w:type="dxa"/>
            <w:left w:w="108" w:type="dxa"/>
            <w:bottom w:w="0" w:type="dxa"/>
            <w:right w:w="108" w:type="dxa"/>
          </w:tblCellMar>
        </w:tblPrEx>
        <w:trPr>
          <w:trHeight w:val="96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871810F">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25</w:t>
            </w:r>
          </w:p>
        </w:tc>
        <w:tc>
          <w:tcPr>
            <w:tcW w:w="1117" w:type="dxa"/>
            <w:tcBorders>
              <w:top w:val="single" w:color="000000" w:sz="4" w:space="0"/>
              <w:left w:val="single" w:color="000000" w:sz="4" w:space="0"/>
              <w:bottom w:val="single" w:color="000000" w:sz="4" w:space="0"/>
              <w:right w:val="single" w:color="000000" w:sz="4" w:space="0"/>
            </w:tcBorders>
            <w:vAlign w:val="center"/>
          </w:tcPr>
          <w:p w14:paraId="577844A1">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▲安卓端安全桌面</w:t>
            </w:r>
          </w:p>
        </w:tc>
        <w:tc>
          <w:tcPr>
            <w:tcW w:w="7483" w:type="dxa"/>
            <w:tcBorders>
              <w:top w:val="single" w:color="000000" w:sz="4" w:space="0"/>
              <w:left w:val="single" w:color="000000" w:sz="4" w:space="0"/>
              <w:bottom w:val="single" w:color="000000" w:sz="4" w:space="0"/>
              <w:right w:val="single" w:color="000000" w:sz="4" w:space="0"/>
            </w:tcBorders>
            <w:vAlign w:val="center"/>
          </w:tcPr>
          <w:p w14:paraId="464075C1">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安卓终端启动后自动进入安全桌面，在安全桌面上展示日期、时间、IP地址、MAC地址、通知通告信息、设备备注信息，及具备刷新按钮功能。在远程的时候可以进行文件互传，实现办管理员WINDOWS电脑的文件与安卓终端的文件进行互相传输。（须提供截图证明）</w:t>
            </w:r>
          </w:p>
        </w:tc>
      </w:tr>
      <w:tr w14:paraId="5DFAF543">
        <w:tblPrEx>
          <w:tblCellMar>
            <w:top w:w="0" w:type="dxa"/>
            <w:left w:w="108" w:type="dxa"/>
            <w:bottom w:w="0" w:type="dxa"/>
            <w:right w:w="108" w:type="dxa"/>
          </w:tblCellMar>
        </w:tblPrEx>
        <w:trPr>
          <w:trHeight w:val="656"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E095AF7">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26</w:t>
            </w:r>
          </w:p>
        </w:tc>
        <w:tc>
          <w:tcPr>
            <w:tcW w:w="1117" w:type="dxa"/>
            <w:tcBorders>
              <w:top w:val="single" w:color="000000" w:sz="4" w:space="0"/>
              <w:left w:val="single" w:color="000000" w:sz="4" w:space="0"/>
              <w:bottom w:val="single" w:color="000000" w:sz="4" w:space="0"/>
              <w:right w:val="single" w:color="000000" w:sz="4" w:space="0"/>
            </w:tcBorders>
            <w:vAlign w:val="center"/>
          </w:tcPr>
          <w:p w14:paraId="58017C15">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▲安卓端APP白名单</w:t>
            </w:r>
          </w:p>
        </w:tc>
        <w:tc>
          <w:tcPr>
            <w:tcW w:w="7483" w:type="dxa"/>
            <w:tcBorders>
              <w:top w:val="single" w:color="000000" w:sz="4" w:space="0"/>
              <w:left w:val="single" w:color="000000" w:sz="4" w:space="0"/>
              <w:bottom w:val="single" w:color="000000" w:sz="4" w:space="0"/>
              <w:right w:val="single" w:color="000000" w:sz="4" w:space="0"/>
            </w:tcBorders>
            <w:vAlign w:val="center"/>
          </w:tcPr>
          <w:p w14:paraId="369FB65A">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安全桌面只展示白名单中的APP，不能展示非管理员允许的APP。（须提供截图证明）</w:t>
            </w:r>
          </w:p>
        </w:tc>
      </w:tr>
      <w:tr w14:paraId="435688F3">
        <w:tblPrEx>
          <w:tblCellMar>
            <w:top w:w="0" w:type="dxa"/>
            <w:left w:w="108" w:type="dxa"/>
            <w:bottom w:w="0" w:type="dxa"/>
            <w:right w:w="108" w:type="dxa"/>
          </w:tblCellMar>
        </w:tblPrEx>
        <w:trPr>
          <w:trHeight w:val="96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9CDD10B">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27</w:t>
            </w:r>
          </w:p>
        </w:tc>
        <w:tc>
          <w:tcPr>
            <w:tcW w:w="1117" w:type="dxa"/>
            <w:tcBorders>
              <w:top w:val="single" w:color="000000" w:sz="4" w:space="0"/>
              <w:left w:val="single" w:color="000000" w:sz="4" w:space="0"/>
              <w:bottom w:val="single" w:color="000000" w:sz="4" w:space="0"/>
              <w:right w:val="single" w:color="000000" w:sz="4" w:space="0"/>
            </w:tcBorders>
            <w:vAlign w:val="center"/>
          </w:tcPr>
          <w:p w14:paraId="45A5F5A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▲安卓应用商店</w:t>
            </w:r>
          </w:p>
        </w:tc>
        <w:tc>
          <w:tcPr>
            <w:tcW w:w="7483" w:type="dxa"/>
            <w:tcBorders>
              <w:top w:val="single" w:color="000000" w:sz="4" w:space="0"/>
              <w:left w:val="single" w:color="000000" w:sz="4" w:space="0"/>
              <w:bottom w:val="single" w:color="000000" w:sz="4" w:space="0"/>
              <w:right w:val="single" w:color="000000" w:sz="4" w:space="0"/>
            </w:tcBorders>
            <w:vAlign w:val="center"/>
          </w:tcPr>
          <w:p w14:paraId="22676871">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管理员可以讲APP上传到应用商店中，终端用户可以在应用商店中找到相应的APP进行下载安装。（须提供截图证明）</w:t>
            </w:r>
          </w:p>
        </w:tc>
      </w:tr>
      <w:tr w14:paraId="05AE2343">
        <w:tblPrEx>
          <w:tblCellMar>
            <w:top w:w="0" w:type="dxa"/>
            <w:left w:w="108" w:type="dxa"/>
            <w:bottom w:w="0" w:type="dxa"/>
            <w:right w:w="108" w:type="dxa"/>
          </w:tblCellMar>
        </w:tblPrEx>
        <w:trPr>
          <w:trHeight w:val="96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D90892D">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28</w:t>
            </w:r>
          </w:p>
        </w:tc>
        <w:tc>
          <w:tcPr>
            <w:tcW w:w="1117" w:type="dxa"/>
            <w:tcBorders>
              <w:top w:val="single" w:color="000000" w:sz="4" w:space="0"/>
              <w:left w:val="single" w:color="000000" w:sz="4" w:space="0"/>
              <w:bottom w:val="single" w:color="000000" w:sz="4" w:space="0"/>
              <w:right w:val="single" w:color="000000" w:sz="4" w:space="0"/>
            </w:tcBorders>
            <w:vAlign w:val="center"/>
          </w:tcPr>
          <w:p w14:paraId="1414532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▲安卓端WIFI</w:t>
            </w:r>
          </w:p>
        </w:tc>
        <w:tc>
          <w:tcPr>
            <w:tcW w:w="7483" w:type="dxa"/>
            <w:tcBorders>
              <w:top w:val="single" w:color="000000" w:sz="4" w:space="0"/>
              <w:left w:val="single" w:color="000000" w:sz="4" w:space="0"/>
              <w:bottom w:val="single" w:color="000000" w:sz="4" w:space="0"/>
              <w:right w:val="single" w:color="000000" w:sz="4" w:space="0"/>
            </w:tcBorders>
            <w:vAlign w:val="center"/>
          </w:tcPr>
          <w:p w14:paraId="6540E5A1">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系统具备WIFI白名单功能，安卓终端只能连接指定的WIFI名称。（须提供截图证明）</w:t>
            </w:r>
          </w:p>
        </w:tc>
      </w:tr>
      <w:tr w14:paraId="18E77119">
        <w:tblPrEx>
          <w:tblCellMar>
            <w:top w:w="0" w:type="dxa"/>
            <w:left w:w="108" w:type="dxa"/>
            <w:bottom w:w="0" w:type="dxa"/>
            <w:right w:w="108" w:type="dxa"/>
          </w:tblCellMar>
        </w:tblPrEx>
        <w:trPr>
          <w:trHeight w:val="804"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2E2AEB9">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29</w:t>
            </w:r>
          </w:p>
        </w:tc>
        <w:tc>
          <w:tcPr>
            <w:tcW w:w="1117" w:type="dxa"/>
            <w:tcBorders>
              <w:top w:val="single" w:color="000000" w:sz="4" w:space="0"/>
              <w:left w:val="single" w:color="000000" w:sz="4" w:space="0"/>
              <w:bottom w:val="single" w:color="000000" w:sz="4" w:space="0"/>
              <w:right w:val="single" w:color="000000" w:sz="4" w:space="0"/>
            </w:tcBorders>
            <w:vAlign w:val="center"/>
          </w:tcPr>
          <w:p w14:paraId="65887D64">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▲安卓端时间同步</w:t>
            </w:r>
          </w:p>
        </w:tc>
        <w:tc>
          <w:tcPr>
            <w:tcW w:w="7483" w:type="dxa"/>
            <w:tcBorders>
              <w:top w:val="single" w:color="000000" w:sz="4" w:space="0"/>
              <w:left w:val="single" w:color="000000" w:sz="4" w:space="0"/>
              <w:bottom w:val="single" w:color="000000" w:sz="4" w:space="0"/>
              <w:right w:val="single" w:color="000000" w:sz="4" w:space="0"/>
            </w:tcBorders>
            <w:vAlign w:val="center"/>
          </w:tcPr>
          <w:p w14:paraId="360C2A87">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安卓终端能够和服务器进行时间同步。（须提供截图证明）</w:t>
            </w:r>
          </w:p>
        </w:tc>
      </w:tr>
      <w:tr w14:paraId="61C635CD">
        <w:tblPrEx>
          <w:tblCellMar>
            <w:top w:w="0" w:type="dxa"/>
            <w:left w:w="108" w:type="dxa"/>
            <w:bottom w:w="0" w:type="dxa"/>
            <w:right w:w="108" w:type="dxa"/>
          </w:tblCellMar>
        </w:tblPrEx>
        <w:trPr>
          <w:trHeight w:val="96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AE509E0">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30</w:t>
            </w:r>
          </w:p>
        </w:tc>
        <w:tc>
          <w:tcPr>
            <w:tcW w:w="1117" w:type="dxa"/>
            <w:tcBorders>
              <w:top w:val="single" w:color="000000" w:sz="4" w:space="0"/>
              <w:left w:val="single" w:color="000000" w:sz="4" w:space="0"/>
              <w:bottom w:val="single" w:color="000000" w:sz="4" w:space="0"/>
              <w:right w:val="single" w:color="000000" w:sz="4" w:space="0"/>
            </w:tcBorders>
            <w:vAlign w:val="center"/>
          </w:tcPr>
          <w:p w14:paraId="0C3483BD">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▲桌面助手</w:t>
            </w:r>
          </w:p>
        </w:tc>
        <w:tc>
          <w:tcPr>
            <w:tcW w:w="7483" w:type="dxa"/>
            <w:tcBorders>
              <w:top w:val="single" w:color="000000" w:sz="4" w:space="0"/>
              <w:left w:val="single" w:color="000000" w:sz="4" w:space="0"/>
              <w:bottom w:val="single" w:color="000000" w:sz="4" w:space="0"/>
              <w:right w:val="single" w:color="000000" w:sz="4" w:space="0"/>
            </w:tcBorders>
            <w:vAlign w:val="center"/>
          </w:tcPr>
          <w:p w14:paraId="7027153A">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管理端开启桌面助手策略，终端计算机桌面底层一直展示半透明窗口，管理端可以配置窗口上多个快捷方式网址，可以选择打开的浏览器，用户点击每个快捷方式会打开相应系统；桌面助手自带截屏工具，用户可以进行截屏、录制5秒、10秒、20秒屏幕，生成视频；管理端可以以九宫格的形式设置桌面助手的固定展示位置。（须提供截图证明）</w:t>
            </w:r>
          </w:p>
        </w:tc>
      </w:tr>
      <w:tr w14:paraId="61822881">
        <w:tblPrEx>
          <w:tblCellMar>
            <w:top w:w="0" w:type="dxa"/>
            <w:left w:w="108" w:type="dxa"/>
            <w:bottom w:w="0" w:type="dxa"/>
            <w:right w:w="108" w:type="dxa"/>
          </w:tblCellMar>
        </w:tblPrEx>
        <w:trPr>
          <w:trHeight w:val="96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6EC0106">
            <w:pPr>
              <w:jc w:val="left"/>
              <w:textAlignment w:val="center"/>
              <w:rPr>
                <w:rFonts w:ascii="微软雅黑" w:hAnsi="微软雅黑" w:eastAsia="微软雅黑" w:cs="微软雅黑"/>
              </w:rPr>
            </w:pPr>
            <w:r>
              <w:rPr>
                <w:rFonts w:hint="eastAsia" w:ascii="微软雅黑" w:hAnsi="微软雅黑" w:eastAsia="微软雅黑" w:cs="微软雅黑"/>
              </w:rPr>
              <w:t>31</w:t>
            </w:r>
          </w:p>
        </w:tc>
        <w:tc>
          <w:tcPr>
            <w:tcW w:w="1117" w:type="dxa"/>
            <w:tcBorders>
              <w:top w:val="single" w:color="000000" w:sz="4" w:space="0"/>
              <w:left w:val="single" w:color="000000" w:sz="4" w:space="0"/>
              <w:bottom w:val="single" w:color="000000" w:sz="4" w:space="0"/>
              <w:right w:val="single" w:color="000000" w:sz="4" w:space="0"/>
            </w:tcBorders>
            <w:vAlign w:val="center"/>
          </w:tcPr>
          <w:p w14:paraId="2944847E">
            <w:pPr>
              <w:jc w:val="center"/>
              <w:textAlignment w:val="center"/>
              <w:rPr>
                <w:rFonts w:ascii="微软雅黑" w:hAnsi="微软雅黑" w:eastAsia="微软雅黑" w:cs="微软雅黑"/>
              </w:rPr>
            </w:pPr>
            <w:r>
              <w:rPr>
                <w:rFonts w:hint="eastAsia" w:ascii="微软雅黑" w:hAnsi="微软雅黑" w:eastAsia="微软雅黑" w:cs="微软雅黑"/>
              </w:rPr>
              <w:t>水印管理</w:t>
            </w:r>
          </w:p>
        </w:tc>
        <w:tc>
          <w:tcPr>
            <w:tcW w:w="7483" w:type="dxa"/>
            <w:tcBorders>
              <w:top w:val="single" w:color="000000" w:sz="4" w:space="0"/>
              <w:left w:val="single" w:color="000000" w:sz="4" w:space="0"/>
              <w:bottom w:val="single" w:color="000000" w:sz="4" w:space="0"/>
              <w:right w:val="single" w:color="000000" w:sz="4" w:space="0"/>
            </w:tcBorders>
            <w:vAlign w:val="center"/>
          </w:tcPr>
          <w:p w14:paraId="1829AD47">
            <w:pPr>
              <w:textAlignment w:val="center"/>
              <w:rPr>
                <w:rFonts w:ascii="微软雅黑" w:hAnsi="微软雅黑" w:eastAsia="微软雅黑" w:cs="微软雅黑"/>
              </w:rPr>
            </w:pPr>
            <w:r>
              <w:rPr>
                <w:rFonts w:hint="eastAsia" w:ascii="微软雅黑" w:hAnsi="微软雅黑" w:eastAsia="微软雅黑" w:cs="微软雅黑"/>
              </w:rPr>
              <w:t>支持屏幕水印，全屏展示机器名、IP、MAC、日期；支持打印水印功能，可以在打印出来的纸张上显示机器MAC、日期以及自定义文本内容；可设置水印文字的字体、文字大小、文字倾斜角度、例外打印机名称，并且可设置单行水印的水平垂直坐标及水印平铺的水平垂直间隔。</w:t>
            </w:r>
          </w:p>
        </w:tc>
      </w:tr>
      <w:tr w14:paraId="282BE432">
        <w:tblPrEx>
          <w:tblCellMar>
            <w:top w:w="0" w:type="dxa"/>
            <w:left w:w="108" w:type="dxa"/>
            <w:bottom w:w="0" w:type="dxa"/>
            <w:right w:w="108" w:type="dxa"/>
          </w:tblCellMar>
        </w:tblPrEx>
        <w:trPr>
          <w:trHeight w:val="7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C5F45C1">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32</w:t>
            </w:r>
          </w:p>
        </w:tc>
        <w:tc>
          <w:tcPr>
            <w:tcW w:w="1117" w:type="dxa"/>
            <w:tcBorders>
              <w:top w:val="single" w:color="000000" w:sz="4" w:space="0"/>
              <w:left w:val="single" w:color="000000" w:sz="4" w:space="0"/>
              <w:bottom w:val="single" w:color="000000" w:sz="4" w:space="0"/>
              <w:right w:val="single" w:color="000000" w:sz="4" w:space="0"/>
            </w:tcBorders>
            <w:vAlign w:val="center"/>
          </w:tcPr>
          <w:p w14:paraId="4072AEA5">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桌面IP展示</w:t>
            </w:r>
          </w:p>
        </w:tc>
        <w:tc>
          <w:tcPr>
            <w:tcW w:w="7483" w:type="dxa"/>
            <w:tcBorders>
              <w:top w:val="single" w:color="000000" w:sz="4" w:space="0"/>
              <w:left w:val="single" w:color="000000" w:sz="4" w:space="0"/>
              <w:bottom w:val="single" w:color="000000" w:sz="4" w:space="0"/>
              <w:right w:val="single" w:color="000000" w:sz="4" w:space="0"/>
            </w:tcBorders>
            <w:vAlign w:val="center"/>
          </w:tcPr>
          <w:p w14:paraId="1C2A1C00">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支持桌面展示机器名称、IP、MAC、日期、工作组以及自定义内容。显示的文字字体、大小、颜色均可设置，管理员可以通过九宫格的方式设置显示位置。</w:t>
            </w:r>
          </w:p>
        </w:tc>
      </w:tr>
      <w:tr w14:paraId="34C2A651">
        <w:tblPrEx>
          <w:tblCellMar>
            <w:top w:w="0" w:type="dxa"/>
            <w:left w:w="108" w:type="dxa"/>
            <w:bottom w:w="0" w:type="dxa"/>
            <w:right w:w="108" w:type="dxa"/>
          </w:tblCellMar>
        </w:tblPrEx>
        <w:trPr>
          <w:trHeight w:val="7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686A495">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33</w:t>
            </w:r>
          </w:p>
        </w:tc>
        <w:tc>
          <w:tcPr>
            <w:tcW w:w="1117" w:type="dxa"/>
            <w:tcBorders>
              <w:top w:val="single" w:color="000000" w:sz="4" w:space="0"/>
              <w:left w:val="single" w:color="000000" w:sz="4" w:space="0"/>
              <w:bottom w:val="single" w:color="000000" w:sz="4" w:space="0"/>
              <w:right w:val="single" w:color="000000" w:sz="4" w:space="0"/>
            </w:tcBorders>
            <w:vAlign w:val="center"/>
          </w:tcPr>
          <w:p w14:paraId="225713E6">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▲内网聊天</w:t>
            </w:r>
          </w:p>
        </w:tc>
        <w:tc>
          <w:tcPr>
            <w:tcW w:w="7483" w:type="dxa"/>
            <w:tcBorders>
              <w:top w:val="single" w:color="000000" w:sz="4" w:space="0"/>
              <w:left w:val="single" w:color="000000" w:sz="4" w:space="0"/>
              <w:bottom w:val="single" w:color="000000" w:sz="4" w:space="0"/>
              <w:right w:val="single" w:color="000000" w:sz="4" w:space="0"/>
            </w:tcBorders>
            <w:vAlign w:val="center"/>
          </w:tcPr>
          <w:p w14:paraId="552C86D2">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终端用户可以登录自带的聊天模块功能，可以选择医院的其他用户发送、接收即时消息，支持文件发送和接收，可以查看历史消息。（须提供截图证明）</w:t>
            </w:r>
          </w:p>
        </w:tc>
      </w:tr>
      <w:tr w14:paraId="5C912DD5">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84B9111">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34</w:t>
            </w:r>
          </w:p>
        </w:tc>
        <w:tc>
          <w:tcPr>
            <w:tcW w:w="1117" w:type="dxa"/>
            <w:tcBorders>
              <w:top w:val="single" w:color="000000" w:sz="4" w:space="0"/>
              <w:left w:val="single" w:color="000000" w:sz="4" w:space="0"/>
              <w:bottom w:val="single" w:color="000000" w:sz="4" w:space="0"/>
              <w:right w:val="single" w:color="000000" w:sz="4" w:space="0"/>
            </w:tcBorders>
            <w:vAlign w:val="center"/>
          </w:tcPr>
          <w:p w14:paraId="525EC204">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▲多屏墙</w:t>
            </w:r>
          </w:p>
        </w:tc>
        <w:tc>
          <w:tcPr>
            <w:tcW w:w="7483" w:type="dxa"/>
            <w:tcBorders>
              <w:top w:val="single" w:color="000000" w:sz="4" w:space="0"/>
              <w:left w:val="single" w:color="000000" w:sz="4" w:space="0"/>
              <w:bottom w:val="single" w:color="000000" w:sz="4" w:space="0"/>
              <w:right w:val="single" w:color="000000" w:sz="4" w:space="0"/>
            </w:tcBorders>
            <w:vAlign w:val="center"/>
          </w:tcPr>
          <w:p w14:paraId="0D89DA12">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管理员可以实时查看多个计算机的电脑屏幕，最大支持64屏同时监看；可灵活设置监控屏数和自动循环播放的时间。（须提供截图证明）</w:t>
            </w:r>
          </w:p>
        </w:tc>
      </w:tr>
      <w:tr w14:paraId="55E9E4D7">
        <w:tblPrEx>
          <w:tblCellMar>
            <w:top w:w="0" w:type="dxa"/>
            <w:left w:w="108" w:type="dxa"/>
            <w:bottom w:w="0" w:type="dxa"/>
            <w:right w:w="108" w:type="dxa"/>
          </w:tblCellMar>
        </w:tblPrEx>
        <w:trPr>
          <w:trHeight w:val="769"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0DA45EA8">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35</w:t>
            </w:r>
          </w:p>
        </w:tc>
        <w:tc>
          <w:tcPr>
            <w:tcW w:w="1117" w:type="dxa"/>
            <w:tcBorders>
              <w:top w:val="single" w:color="000000" w:sz="4" w:space="0"/>
              <w:left w:val="single" w:color="000000" w:sz="4" w:space="0"/>
              <w:bottom w:val="single" w:color="000000" w:sz="4" w:space="0"/>
              <w:right w:val="single" w:color="000000" w:sz="4" w:space="0"/>
            </w:tcBorders>
            <w:vAlign w:val="center"/>
          </w:tcPr>
          <w:p w14:paraId="1C19242B">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★系统盘自动还原</w:t>
            </w:r>
          </w:p>
        </w:tc>
        <w:tc>
          <w:tcPr>
            <w:tcW w:w="7483" w:type="dxa"/>
            <w:tcBorders>
              <w:top w:val="single" w:color="000000" w:sz="4" w:space="0"/>
              <w:left w:val="single" w:color="000000" w:sz="4" w:space="0"/>
              <w:bottom w:val="single" w:color="000000" w:sz="4" w:space="0"/>
              <w:right w:val="single" w:color="000000" w:sz="4" w:space="0"/>
            </w:tcBorders>
            <w:vAlign w:val="center"/>
          </w:tcPr>
          <w:p w14:paraId="57648581">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对于终端计算机提供系统盘还原功能，每次计算机重启，对于系统盘的写入信息，全部丢弃，系统盘恢复原状。（须提供截图证明）</w:t>
            </w:r>
          </w:p>
        </w:tc>
      </w:tr>
      <w:tr w14:paraId="7BCFE7E8">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707F750">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36</w:t>
            </w:r>
          </w:p>
        </w:tc>
        <w:tc>
          <w:tcPr>
            <w:tcW w:w="1117" w:type="dxa"/>
            <w:tcBorders>
              <w:top w:val="single" w:color="000000" w:sz="4" w:space="0"/>
              <w:left w:val="single" w:color="000000" w:sz="4" w:space="0"/>
              <w:bottom w:val="single" w:color="000000" w:sz="4" w:space="0"/>
              <w:right w:val="single" w:color="000000" w:sz="4" w:space="0"/>
            </w:tcBorders>
            <w:vAlign w:val="center"/>
          </w:tcPr>
          <w:p w14:paraId="566EFF4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▲U盘管理</w:t>
            </w:r>
          </w:p>
        </w:tc>
        <w:tc>
          <w:tcPr>
            <w:tcW w:w="7483" w:type="dxa"/>
            <w:tcBorders>
              <w:top w:val="single" w:color="000000" w:sz="4" w:space="0"/>
              <w:left w:val="single" w:color="000000" w:sz="4" w:space="0"/>
              <w:bottom w:val="single" w:color="000000" w:sz="4" w:space="0"/>
              <w:right w:val="single" w:color="000000" w:sz="4" w:space="0"/>
            </w:tcBorders>
            <w:vAlign w:val="center"/>
          </w:tcPr>
          <w:p w14:paraId="6DD8A20F">
            <w:pPr>
              <w:textAlignment w:val="center"/>
              <w:rPr>
                <w:rFonts w:ascii="微软雅黑" w:hAnsi="微软雅黑" w:eastAsia="微软雅黑" w:cs="微软雅黑"/>
              </w:rPr>
            </w:pPr>
            <w:r>
              <w:rPr>
                <w:rFonts w:hint="eastAsia" w:ascii="微软雅黑" w:hAnsi="微软雅黑" w:eastAsia="微软雅黑" w:cs="微软雅黑"/>
              </w:rPr>
              <w:t>可以设置禁止使用U盘，可以为U盘设置只读，只写权限，U盘插入报警；</w:t>
            </w:r>
          </w:p>
          <w:p w14:paraId="14AE1284">
            <w:pPr>
              <w:textAlignment w:val="center"/>
              <w:rPr>
                <w:rFonts w:ascii="微软雅黑" w:hAnsi="微软雅黑" w:eastAsia="微软雅黑" w:cs="微软雅黑"/>
              </w:rPr>
            </w:pPr>
            <w:r>
              <w:rPr>
                <w:rFonts w:hint="eastAsia" w:ascii="微软雅黑" w:hAnsi="微软雅黑" w:eastAsia="微软雅黑" w:cs="微软雅黑"/>
              </w:rPr>
              <w:t>支持制作例外U盘，制作后的例外U盘，可以在单位内部按权使用，支持表格批量导入例外U盘；</w:t>
            </w:r>
          </w:p>
          <w:p w14:paraId="1E66A269">
            <w:pPr>
              <w:textAlignment w:val="center"/>
              <w:rPr>
                <w:rFonts w:ascii="微软雅黑" w:hAnsi="微软雅黑" w:eastAsia="微软雅黑" w:cs="微软雅黑"/>
              </w:rPr>
            </w:pPr>
            <w:r>
              <w:rPr>
                <w:rFonts w:hint="eastAsia" w:ascii="微软雅黑" w:hAnsi="微软雅黑" w:eastAsia="微软雅黑" w:cs="微软雅黑"/>
              </w:rPr>
              <w:t>客户端本地也可向管理员申请例外U盘，管理人员可以收到申请消息，并进行审批；</w:t>
            </w:r>
          </w:p>
          <w:p w14:paraId="2BC38DDF">
            <w:pPr>
              <w:textAlignment w:val="center"/>
              <w:rPr>
                <w:rFonts w:ascii="微软雅黑" w:hAnsi="微软雅黑" w:eastAsia="微软雅黑" w:cs="微软雅黑"/>
              </w:rPr>
            </w:pPr>
            <w:r>
              <w:rPr>
                <w:rFonts w:hint="eastAsia" w:ascii="微软雅黑" w:hAnsi="微软雅黑" w:eastAsia="微软雅黑" w:cs="微软雅黑"/>
              </w:rPr>
              <w:t>支持灵活设置管控时间段，同时提供自动清理U盘使用痕迹功能。</w:t>
            </w:r>
          </w:p>
          <w:p w14:paraId="7A577E51">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（须提供截图证明）</w:t>
            </w:r>
          </w:p>
        </w:tc>
      </w:tr>
      <w:tr w14:paraId="4A901663">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878A25B">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37</w:t>
            </w:r>
          </w:p>
        </w:tc>
        <w:tc>
          <w:tcPr>
            <w:tcW w:w="1117" w:type="dxa"/>
            <w:tcBorders>
              <w:top w:val="single" w:color="000000" w:sz="4" w:space="0"/>
              <w:left w:val="single" w:color="000000" w:sz="4" w:space="0"/>
              <w:bottom w:val="single" w:color="000000" w:sz="4" w:space="0"/>
              <w:right w:val="single" w:color="000000" w:sz="4" w:space="0"/>
            </w:tcBorders>
            <w:vAlign w:val="center"/>
          </w:tcPr>
          <w:p w14:paraId="01A3678A">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保密U盘</w:t>
            </w:r>
          </w:p>
        </w:tc>
        <w:tc>
          <w:tcPr>
            <w:tcW w:w="7483" w:type="dxa"/>
            <w:tcBorders>
              <w:top w:val="single" w:color="000000" w:sz="4" w:space="0"/>
              <w:left w:val="single" w:color="000000" w:sz="4" w:space="0"/>
              <w:bottom w:val="single" w:color="000000" w:sz="4" w:space="0"/>
              <w:right w:val="single" w:color="000000" w:sz="4" w:space="0"/>
            </w:tcBorders>
            <w:vAlign w:val="center"/>
          </w:tcPr>
          <w:p w14:paraId="619048F2">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持制作保密U盘，制作好的保密U盘只能在认证的计算机中使用，插入到任何非认证的计算机都不能使用。</w:t>
            </w:r>
          </w:p>
        </w:tc>
      </w:tr>
      <w:tr w14:paraId="62D8C1CB">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D377218">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38</w:t>
            </w:r>
          </w:p>
        </w:tc>
        <w:tc>
          <w:tcPr>
            <w:tcW w:w="1117" w:type="dxa"/>
            <w:tcBorders>
              <w:top w:val="single" w:color="000000" w:sz="4" w:space="0"/>
              <w:left w:val="single" w:color="000000" w:sz="4" w:space="0"/>
              <w:bottom w:val="single" w:color="000000" w:sz="4" w:space="0"/>
              <w:right w:val="single" w:color="000000" w:sz="4" w:space="0"/>
            </w:tcBorders>
            <w:vAlign w:val="center"/>
          </w:tcPr>
          <w:p w14:paraId="783A9C5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硬件资产管理</w:t>
            </w:r>
          </w:p>
        </w:tc>
        <w:tc>
          <w:tcPr>
            <w:tcW w:w="7483" w:type="dxa"/>
            <w:tcBorders>
              <w:top w:val="single" w:color="000000" w:sz="4" w:space="0"/>
              <w:left w:val="single" w:color="000000" w:sz="4" w:space="0"/>
              <w:bottom w:val="single" w:color="000000" w:sz="4" w:space="0"/>
              <w:right w:val="single" w:color="000000" w:sz="4" w:space="0"/>
            </w:tcBorders>
            <w:vAlign w:val="center"/>
          </w:tcPr>
          <w:p w14:paraId="20E452AB">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管理者可以查询硬件资产统计报表，自动收集硬件资产的变更情况。包括CPU、内存、硬盘、打印设备、串口设备等。可以对于硬件资产信息进行自定义操作，包括设置维保日期，责任人，机器品牌，配备时间，配备方式。</w:t>
            </w:r>
          </w:p>
        </w:tc>
      </w:tr>
      <w:tr w14:paraId="58985BE0">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69C78D9">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39</w:t>
            </w:r>
          </w:p>
        </w:tc>
        <w:tc>
          <w:tcPr>
            <w:tcW w:w="1117" w:type="dxa"/>
            <w:tcBorders>
              <w:top w:val="single" w:color="000000" w:sz="4" w:space="0"/>
              <w:left w:val="single" w:color="000000" w:sz="4" w:space="0"/>
              <w:bottom w:val="single" w:color="000000" w:sz="4" w:space="0"/>
              <w:right w:val="single" w:color="000000" w:sz="4" w:space="0"/>
            </w:tcBorders>
            <w:vAlign w:val="center"/>
          </w:tcPr>
          <w:p w14:paraId="0A8C2A4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软件资产管理</w:t>
            </w:r>
          </w:p>
        </w:tc>
        <w:tc>
          <w:tcPr>
            <w:tcW w:w="7483" w:type="dxa"/>
            <w:tcBorders>
              <w:top w:val="single" w:color="000000" w:sz="4" w:space="0"/>
              <w:left w:val="single" w:color="000000" w:sz="4" w:space="0"/>
              <w:bottom w:val="single" w:color="000000" w:sz="4" w:space="0"/>
              <w:right w:val="single" w:color="000000" w:sz="4" w:space="0"/>
            </w:tcBorders>
            <w:vAlign w:val="center"/>
          </w:tcPr>
          <w:p w14:paraId="205035D9">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管理者可以查询软件统计报表，自动收集软件的变更情况。可以统计安全软件名称、安装日期、版本号、发布者。</w:t>
            </w:r>
          </w:p>
        </w:tc>
      </w:tr>
      <w:tr w14:paraId="54434EEF">
        <w:tblPrEx>
          <w:tblCellMar>
            <w:top w:w="0" w:type="dxa"/>
            <w:left w:w="108" w:type="dxa"/>
            <w:bottom w:w="0" w:type="dxa"/>
            <w:right w:w="108" w:type="dxa"/>
          </w:tblCellMar>
        </w:tblPrEx>
        <w:trPr>
          <w:trHeight w:val="96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79E1694">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40</w:t>
            </w:r>
          </w:p>
        </w:tc>
        <w:tc>
          <w:tcPr>
            <w:tcW w:w="1117" w:type="dxa"/>
            <w:tcBorders>
              <w:top w:val="single" w:color="000000" w:sz="4" w:space="0"/>
              <w:left w:val="single" w:color="000000" w:sz="4" w:space="0"/>
              <w:bottom w:val="single" w:color="000000" w:sz="4" w:space="0"/>
              <w:right w:val="single" w:color="000000" w:sz="4" w:space="0"/>
            </w:tcBorders>
            <w:vAlign w:val="center"/>
          </w:tcPr>
          <w:p w14:paraId="41474BF8">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杀毒软件检测</w:t>
            </w:r>
          </w:p>
        </w:tc>
        <w:tc>
          <w:tcPr>
            <w:tcW w:w="7483" w:type="dxa"/>
            <w:tcBorders>
              <w:top w:val="single" w:color="000000" w:sz="4" w:space="0"/>
              <w:left w:val="single" w:color="000000" w:sz="4" w:space="0"/>
              <w:bottom w:val="single" w:color="000000" w:sz="4" w:space="0"/>
              <w:right w:val="single" w:color="000000" w:sz="4" w:space="0"/>
            </w:tcBorders>
            <w:vAlign w:val="center"/>
          </w:tcPr>
          <w:p w14:paraId="6CDD10E6">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管理员可以按计算机模式查看所有客户端的杀毒软件状况，包括是否安装杀毒软件、杀毒软件状态、杀毒软件版本号等。</w:t>
            </w:r>
          </w:p>
        </w:tc>
      </w:tr>
      <w:tr w14:paraId="1BD06183">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CA7E83D">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41</w:t>
            </w:r>
          </w:p>
        </w:tc>
        <w:tc>
          <w:tcPr>
            <w:tcW w:w="1117" w:type="dxa"/>
            <w:tcBorders>
              <w:top w:val="single" w:color="000000" w:sz="4" w:space="0"/>
              <w:left w:val="single" w:color="000000" w:sz="4" w:space="0"/>
              <w:bottom w:val="single" w:color="000000" w:sz="4" w:space="0"/>
              <w:right w:val="single" w:color="000000" w:sz="4" w:space="0"/>
            </w:tcBorders>
            <w:vAlign w:val="center"/>
          </w:tcPr>
          <w:p w14:paraId="18D76460">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Windows服务</w:t>
            </w:r>
          </w:p>
        </w:tc>
        <w:tc>
          <w:tcPr>
            <w:tcW w:w="7483" w:type="dxa"/>
            <w:tcBorders>
              <w:top w:val="single" w:color="000000" w:sz="4" w:space="0"/>
              <w:left w:val="single" w:color="000000" w:sz="4" w:space="0"/>
              <w:bottom w:val="single" w:color="000000" w:sz="4" w:space="0"/>
              <w:right w:val="single" w:color="000000" w:sz="4" w:space="0"/>
            </w:tcBorders>
            <w:vAlign w:val="center"/>
          </w:tcPr>
          <w:p w14:paraId="6A147DF0">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查看客户端的windows服务状况，可以设置WINDOWS服务端状态，如禁用、启用服务等。可以禁止、禁用、启用服务。</w:t>
            </w:r>
          </w:p>
        </w:tc>
      </w:tr>
      <w:tr w14:paraId="14DAC2B1">
        <w:tblPrEx>
          <w:tblCellMar>
            <w:top w:w="0" w:type="dxa"/>
            <w:left w:w="108" w:type="dxa"/>
            <w:bottom w:w="0" w:type="dxa"/>
            <w:right w:w="108" w:type="dxa"/>
          </w:tblCellMar>
        </w:tblPrEx>
        <w:trPr>
          <w:trHeight w:val="7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2C6AC9D">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42</w:t>
            </w:r>
          </w:p>
        </w:tc>
        <w:tc>
          <w:tcPr>
            <w:tcW w:w="1117" w:type="dxa"/>
            <w:tcBorders>
              <w:top w:val="single" w:color="000000" w:sz="4" w:space="0"/>
              <w:left w:val="single" w:color="000000" w:sz="4" w:space="0"/>
              <w:bottom w:val="single" w:color="000000" w:sz="4" w:space="0"/>
              <w:right w:val="single" w:color="000000" w:sz="4" w:space="0"/>
            </w:tcBorders>
            <w:vAlign w:val="center"/>
          </w:tcPr>
          <w:p w14:paraId="276FB582">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windows补丁管理</w:t>
            </w:r>
          </w:p>
        </w:tc>
        <w:tc>
          <w:tcPr>
            <w:tcW w:w="7483" w:type="dxa"/>
            <w:tcBorders>
              <w:top w:val="single" w:color="000000" w:sz="4" w:space="0"/>
              <w:left w:val="single" w:color="000000" w:sz="4" w:space="0"/>
              <w:bottom w:val="single" w:color="000000" w:sz="4" w:space="0"/>
              <w:right w:val="single" w:color="000000" w:sz="4" w:space="0"/>
            </w:tcBorders>
            <w:vAlign w:val="center"/>
          </w:tcPr>
          <w:p w14:paraId="525E1F24">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系统可以搜集当前终端计算机的系统漏洞，以折线图的形式展现最近7天全网终端的漏洞数和趋势；以这线图的形式展示最近7天全网终端修复漏洞数；系统可以展示全部补丁信息，管理员可以根据补丁编号、补丁名称、补丁支持的操作系统进行搜索，选择需要的补丁；管理员可以查看每个补丁，在那些计算机上安装了；管理员可以查看所有补丁安装的信息，包括安装成功、安装失败、忽略信息。管理员可以设置补丁的分发速度和分发时间。管理员可以设置补丁的分发部门和分发终端。须提供截图证明</w:t>
            </w:r>
          </w:p>
        </w:tc>
      </w:tr>
      <w:tr w14:paraId="218746CD">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68F8E49">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43</w:t>
            </w:r>
          </w:p>
        </w:tc>
        <w:tc>
          <w:tcPr>
            <w:tcW w:w="1117" w:type="dxa"/>
            <w:tcBorders>
              <w:top w:val="single" w:color="000000" w:sz="4" w:space="0"/>
              <w:left w:val="single" w:color="000000" w:sz="4" w:space="0"/>
              <w:bottom w:val="single" w:color="000000" w:sz="4" w:space="0"/>
              <w:right w:val="single" w:color="000000" w:sz="4" w:space="0"/>
            </w:tcBorders>
            <w:vAlign w:val="center"/>
          </w:tcPr>
          <w:p w14:paraId="79FD430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自动同步时间</w:t>
            </w:r>
          </w:p>
        </w:tc>
        <w:tc>
          <w:tcPr>
            <w:tcW w:w="7483" w:type="dxa"/>
            <w:tcBorders>
              <w:top w:val="single" w:color="000000" w:sz="4" w:space="0"/>
              <w:left w:val="single" w:color="000000" w:sz="4" w:space="0"/>
              <w:bottom w:val="single" w:color="000000" w:sz="4" w:space="0"/>
              <w:right w:val="single" w:color="000000" w:sz="4" w:space="0"/>
            </w:tcBorders>
            <w:vAlign w:val="center"/>
          </w:tcPr>
          <w:p w14:paraId="3B4806DD">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客户端自动同步服务器时间。须提供截图证明</w:t>
            </w:r>
          </w:p>
        </w:tc>
      </w:tr>
      <w:tr w14:paraId="01D16C0D">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AE486ED">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44</w:t>
            </w:r>
          </w:p>
        </w:tc>
        <w:tc>
          <w:tcPr>
            <w:tcW w:w="1117" w:type="dxa"/>
            <w:tcBorders>
              <w:top w:val="single" w:color="000000" w:sz="4" w:space="0"/>
              <w:left w:val="single" w:color="000000" w:sz="4" w:space="0"/>
              <w:bottom w:val="single" w:color="000000" w:sz="4" w:space="0"/>
              <w:right w:val="single" w:color="000000" w:sz="4" w:space="0"/>
            </w:tcBorders>
            <w:vAlign w:val="center"/>
          </w:tcPr>
          <w:p w14:paraId="7A48F40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即时通讯管理</w:t>
            </w:r>
          </w:p>
        </w:tc>
        <w:tc>
          <w:tcPr>
            <w:tcW w:w="7483" w:type="dxa"/>
            <w:tcBorders>
              <w:top w:val="single" w:color="000000" w:sz="4" w:space="0"/>
              <w:left w:val="single" w:color="000000" w:sz="4" w:space="0"/>
              <w:bottom w:val="single" w:color="000000" w:sz="4" w:space="0"/>
              <w:right w:val="single" w:color="000000" w:sz="4" w:space="0"/>
            </w:tcBorders>
            <w:vAlign w:val="center"/>
          </w:tcPr>
          <w:p w14:paraId="64FB2035">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可以详细记录QQ、MSN、SKYPE、微信聊天内容和外发文件。</w:t>
            </w:r>
          </w:p>
        </w:tc>
      </w:tr>
      <w:tr w14:paraId="02469CF4">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350D954">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45</w:t>
            </w:r>
          </w:p>
        </w:tc>
        <w:tc>
          <w:tcPr>
            <w:tcW w:w="1117" w:type="dxa"/>
            <w:tcBorders>
              <w:top w:val="single" w:color="000000" w:sz="4" w:space="0"/>
              <w:left w:val="single" w:color="000000" w:sz="4" w:space="0"/>
              <w:bottom w:val="single" w:color="000000" w:sz="4" w:space="0"/>
              <w:right w:val="single" w:color="000000" w:sz="4" w:space="0"/>
            </w:tcBorders>
            <w:vAlign w:val="center"/>
          </w:tcPr>
          <w:p w14:paraId="78FF9E03">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文件外发记录/控制</w:t>
            </w:r>
          </w:p>
        </w:tc>
        <w:tc>
          <w:tcPr>
            <w:tcW w:w="7483" w:type="dxa"/>
            <w:tcBorders>
              <w:top w:val="single" w:color="000000" w:sz="4" w:space="0"/>
              <w:left w:val="single" w:color="000000" w:sz="4" w:space="0"/>
              <w:bottom w:val="single" w:color="000000" w:sz="4" w:space="0"/>
              <w:right w:val="single" w:color="000000" w:sz="4" w:space="0"/>
            </w:tcBorders>
            <w:vAlign w:val="center"/>
          </w:tcPr>
          <w:p w14:paraId="2F9164B9">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客户端会自动记录用户文档外发行为。包括QQ外发、USB外发、浏览器外发等，同时可以记录外发的源文件。禁止用户通过浏览器外发文件。禁止QQ外发文件。禁止阿里旺旺外发文件。禁止微信电脑版外发文件。禁止MSN外发文件。禁止U盘外发文件。禁止拷贝文件到USB设备。禁止拷贝文件到共享目录。禁止拷贝文件到网络硬盘。禁止从USB拷贝文件到本地计算机。禁止从共享目录拷贝文件到本地计算机。从网络硬盘拷贝文件到本地计算机。限制USB设备拷贝文件的大小。</w:t>
            </w:r>
          </w:p>
        </w:tc>
      </w:tr>
      <w:tr w14:paraId="20061476">
        <w:tblPrEx>
          <w:tblCellMar>
            <w:top w:w="0" w:type="dxa"/>
            <w:left w:w="108" w:type="dxa"/>
            <w:bottom w:w="0" w:type="dxa"/>
            <w:right w:w="108" w:type="dxa"/>
          </w:tblCellMar>
        </w:tblPrEx>
        <w:trPr>
          <w:trHeight w:val="2141"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0FE1349">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46</w:t>
            </w:r>
          </w:p>
        </w:tc>
        <w:tc>
          <w:tcPr>
            <w:tcW w:w="1117" w:type="dxa"/>
            <w:tcBorders>
              <w:top w:val="single" w:color="000000" w:sz="4" w:space="0"/>
              <w:left w:val="single" w:color="000000" w:sz="4" w:space="0"/>
              <w:bottom w:val="single" w:color="000000" w:sz="4" w:space="0"/>
              <w:right w:val="single" w:color="000000" w:sz="4" w:space="0"/>
            </w:tcBorders>
            <w:vAlign w:val="center"/>
          </w:tcPr>
          <w:p w14:paraId="1E1C6840">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▲系统提供大屏幕展示功能</w:t>
            </w:r>
          </w:p>
        </w:tc>
        <w:tc>
          <w:tcPr>
            <w:tcW w:w="7483" w:type="dxa"/>
            <w:tcBorders>
              <w:top w:val="single" w:color="000000" w:sz="4" w:space="0"/>
              <w:left w:val="single" w:color="000000" w:sz="4" w:space="0"/>
              <w:bottom w:val="single" w:color="000000" w:sz="4" w:space="0"/>
              <w:right w:val="single" w:color="000000" w:sz="4" w:space="0"/>
            </w:tcBorders>
            <w:vAlign w:val="center"/>
          </w:tcPr>
          <w:p w14:paraId="0C6583B8">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以WEB形式展现，支持4K电视机屏幕完美呈现，可以在同一个屏幕上动态展示以下数据：分别以饼状图展示操作系统分布情况、计算机品牌分布情况、杀毒软件分布情况；以跑马灯的形式展示全网终端的健康度；大屏幕可以展示终端计算机维保在1至3年，3至5年，5至10年，10年以上的各个阶段的计算机数量;可以对于未关机电脑数量进行统计。（须提供截图证明）</w:t>
            </w:r>
          </w:p>
        </w:tc>
      </w:tr>
      <w:tr w14:paraId="2B298D97">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5394B23">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47</w:t>
            </w:r>
          </w:p>
        </w:tc>
        <w:tc>
          <w:tcPr>
            <w:tcW w:w="1117" w:type="dxa"/>
            <w:tcBorders>
              <w:top w:val="single" w:color="000000" w:sz="4" w:space="0"/>
              <w:left w:val="single" w:color="000000" w:sz="4" w:space="0"/>
              <w:bottom w:val="single" w:color="000000" w:sz="4" w:space="0"/>
              <w:right w:val="single" w:color="000000" w:sz="4" w:space="0"/>
            </w:tcBorders>
            <w:vAlign w:val="center"/>
          </w:tcPr>
          <w:p w14:paraId="23CD88D6">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文件分发</w:t>
            </w:r>
          </w:p>
        </w:tc>
        <w:tc>
          <w:tcPr>
            <w:tcW w:w="7483" w:type="dxa"/>
            <w:tcBorders>
              <w:top w:val="single" w:color="000000" w:sz="4" w:space="0"/>
              <w:left w:val="single" w:color="000000" w:sz="4" w:space="0"/>
              <w:bottom w:val="single" w:color="000000" w:sz="4" w:space="0"/>
              <w:right w:val="single" w:color="000000" w:sz="4" w:space="0"/>
            </w:tcBorders>
            <w:vAlign w:val="center"/>
          </w:tcPr>
          <w:p w14:paraId="713CFD5B">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管理员可以对远程计算机进行文件传送。可以自定义文件分发位置。支持多人传送。以任务的形式提交到服务器，对于在线的计算机立刻分发，对于不在线的计算机，开机后自动执行分发任务。</w:t>
            </w:r>
          </w:p>
        </w:tc>
      </w:tr>
      <w:tr w14:paraId="1A039A36">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245C378">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48</w:t>
            </w:r>
          </w:p>
        </w:tc>
        <w:tc>
          <w:tcPr>
            <w:tcW w:w="1117" w:type="dxa"/>
            <w:tcBorders>
              <w:top w:val="single" w:color="000000" w:sz="4" w:space="0"/>
              <w:left w:val="single" w:color="000000" w:sz="4" w:space="0"/>
              <w:bottom w:val="single" w:color="000000" w:sz="4" w:space="0"/>
              <w:right w:val="single" w:color="000000" w:sz="4" w:space="0"/>
            </w:tcBorders>
            <w:vAlign w:val="center"/>
          </w:tcPr>
          <w:p w14:paraId="212546D1">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软件安装</w:t>
            </w:r>
          </w:p>
        </w:tc>
        <w:tc>
          <w:tcPr>
            <w:tcW w:w="7483" w:type="dxa"/>
            <w:tcBorders>
              <w:top w:val="single" w:color="000000" w:sz="4" w:space="0"/>
              <w:left w:val="single" w:color="000000" w:sz="4" w:space="0"/>
              <w:bottom w:val="single" w:color="000000" w:sz="4" w:space="0"/>
              <w:right w:val="single" w:color="000000" w:sz="4" w:space="0"/>
            </w:tcBorders>
            <w:vAlign w:val="center"/>
          </w:tcPr>
          <w:p w14:paraId="2D703E2B">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管理员可以对计算机实行远程推送安装软件。以任务的形式提交到服务器，对于在线的计算机立刻安装，对于不在线的计算机，开机后自动执行安装任务。分发时间可自行设置开始时间与结束时间，分发速度也可限制。</w:t>
            </w:r>
          </w:p>
        </w:tc>
      </w:tr>
      <w:tr w14:paraId="6CC2B869">
        <w:tblPrEx>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1F08FDA">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49</w:t>
            </w:r>
          </w:p>
        </w:tc>
        <w:tc>
          <w:tcPr>
            <w:tcW w:w="1117" w:type="dxa"/>
            <w:tcBorders>
              <w:top w:val="single" w:color="000000" w:sz="4" w:space="0"/>
              <w:left w:val="single" w:color="000000" w:sz="4" w:space="0"/>
              <w:bottom w:val="single" w:color="000000" w:sz="4" w:space="0"/>
              <w:right w:val="single" w:color="000000" w:sz="4" w:space="0"/>
            </w:tcBorders>
            <w:vAlign w:val="center"/>
          </w:tcPr>
          <w:p w14:paraId="50EC6D25">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屏幕保护</w:t>
            </w:r>
          </w:p>
        </w:tc>
        <w:tc>
          <w:tcPr>
            <w:tcW w:w="7483" w:type="dxa"/>
            <w:tcBorders>
              <w:top w:val="single" w:color="000000" w:sz="4" w:space="0"/>
              <w:left w:val="single" w:color="000000" w:sz="4" w:space="0"/>
              <w:bottom w:val="single" w:color="000000" w:sz="4" w:space="0"/>
              <w:right w:val="single" w:color="000000" w:sz="4" w:space="0"/>
            </w:tcBorders>
            <w:vAlign w:val="center"/>
          </w:tcPr>
          <w:p w14:paraId="0915F96D">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可以远程批量统一分发客户端桌面屏保；管理员可以在系统中上传制作好的屏幕保护文件，以及无操作多长时间后启动屏保。</w:t>
            </w:r>
          </w:p>
        </w:tc>
      </w:tr>
      <w:tr w14:paraId="5D29B378">
        <w:tblPrEx>
          <w:tblCellMar>
            <w:top w:w="0" w:type="dxa"/>
            <w:left w:w="108" w:type="dxa"/>
            <w:bottom w:w="0" w:type="dxa"/>
            <w:right w:w="108" w:type="dxa"/>
          </w:tblCellMar>
        </w:tblPrEx>
        <w:trPr>
          <w:trHeight w:val="27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77EE5AF">
            <w:pPr>
              <w:pStyle w:val="9"/>
              <w:jc w:val="left"/>
              <w:rPr>
                <w:rFonts w:ascii="微软雅黑" w:hAnsi="微软雅黑" w:eastAsia="微软雅黑" w:cs="微软雅黑"/>
                <w:sz w:val="21"/>
                <w:szCs w:val="21"/>
              </w:rPr>
            </w:pPr>
            <w:r>
              <w:rPr>
                <w:rFonts w:hint="eastAsia" w:ascii="微软雅黑" w:hAnsi="微软雅黑" w:eastAsia="微软雅黑" w:cs="微软雅黑"/>
                <w:sz w:val="21"/>
                <w:szCs w:val="21"/>
              </w:rPr>
              <w:t>50</w:t>
            </w:r>
          </w:p>
        </w:tc>
        <w:tc>
          <w:tcPr>
            <w:tcW w:w="1117" w:type="dxa"/>
            <w:tcBorders>
              <w:top w:val="single" w:color="000000" w:sz="4" w:space="0"/>
              <w:left w:val="single" w:color="000000" w:sz="4" w:space="0"/>
              <w:bottom w:val="single" w:color="000000" w:sz="4" w:space="0"/>
              <w:right w:val="single" w:color="000000" w:sz="4" w:space="0"/>
            </w:tcBorders>
            <w:vAlign w:val="center"/>
          </w:tcPr>
          <w:p w14:paraId="54FD8D12">
            <w:pPr>
              <w:pStyle w:val="9"/>
              <w:rPr>
                <w:rFonts w:ascii="微软雅黑" w:hAnsi="微软雅黑" w:eastAsia="微软雅黑" w:cs="微软雅黑"/>
                <w:sz w:val="21"/>
                <w:szCs w:val="21"/>
              </w:rPr>
            </w:pPr>
            <w:r>
              <w:rPr>
                <w:rFonts w:hint="eastAsia" w:ascii="微软雅黑" w:hAnsi="微软雅黑" w:eastAsia="微软雅黑" w:cs="微软雅黑"/>
                <w:sz w:val="21"/>
                <w:szCs w:val="21"/>
              </w:rPr>
              <w:t>桌面背景</w:t>
            </w:r>
          </w:p>
        </w:tc>
        <w:tc>
          <w:tcPr>
            <w:tcW w:w="7483" w:type="dxa"/>
            <w:tcBorders>
              <w:top w:val="single" w:color="000000" w:sz="4" w:space="0"/>
              <w:left w:val="single" w:color="000000" w:sz="4" w:space="0"/>
              <w:bottom w:val="single" w:color="000000" w:sz="4" w:space="0"/>
              <w:right w:val="single" w:color="000000" w:sz="4" w:space="0"/>
            </w:tcBorders>
            <w:vAlign w:val="center"/>
          </w:tcPr>
          <w:p w14:paraId="19045E72">
            <w:pPr>
              <w:pStyle w:val="9"/>
              <w:ind w:firstLine="540"/>
              <w:rPr>
                <w:rFonts w:ascii="微软雅黑" w:hAnsi="微软雅黑" w:eastAsia="微软雅黑" w:cs="微软雅黑"/>
                <w:sz w:val="21"/>
                <w:szCs w:val="21"/>
              </w:rPr>
            </w:pPr>
            <w:r>
              <w:rPr>
                <w:rFonts w:hint="eastAsia" w:ascii="微软雅黑" w:hAnsi="微软雅黑" w:eastAsia="微软雅黑" w:cs="微软雅黑"/>
                <w:sz w:val="21"/>
                <w:szCs w:val="21"/>
              </w:rPr>
              <w:t>可以远程批量统一分发客户端桌面背景。</w:t>
            </w:r>
          </w:p>
        </w:tc>
      </w:tr>
    </w:tbl>
    <w:p w14:paraId="5FAB2581">
      <w:pPr>
        <w:spacing w:line="360" w:lineRule="auto"/>
        <w:rPr>
          <w:rFonts w:ascii="微软雅黑" w:hAnsi="微软雅黑" w:eastAsia="微软雅黑" w:cs="微软雅黑"/>
        </w:rPr>
      </w:pPr>
    </w:p>
    <w:p w14:paraId="25F9E7B8">
      <w:pPr>
        <w:rPr>
          <w:rFonts w:ascii="微软雅黑" w:hAnsi="微软雅黑" w:eastAsia="微软雅黑" w:cs="微软雅黑"/>
        </w:rPr>
      </w:pPr>
    </w:p>
    <w:p w14:paraId="263385DF">
      <w:pPr>
        <w:rPr>
          <w:rFonts w:ascii="微软雅黑" w:hAnsi="微软雅黑" w:eastAsia="微软雅黑" w:cs="微软雅黑"/>
        </w:rPr>
      </w:pPr>
      <w:r>
        <w:rPr>
          <w:rFonts w:hint="eastAsia" w:ascii="微软雅黑" w:hAnsi="微软雅黑" w:eastAsia="微软雅黑" w:cs="微软雅黑"/>
        </w:rPr>
        <w:t>二、验收要求</w:t>
      </w:r>
    </w:p>
    <w:p w14:paraId="60737551">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1. 功能验收</w:t>
      </w:r>
    </w:p>
    <w:p w14:paraId="22D9F215">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设备合规性管理</w:t>
      </w:r>
    </w:p>
    <w:p w14:paraId="658727AB">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检查终端是否强制安装安全客户端。</w:t>
      </w:r>
    </w:p>
    <w:p w14:paraId="15EDB86A">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终端行为监控</w:t>
      </w:r>
    </w:p>
    <w:p w14:paraId="45547D92">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检查是否监控敏感操作（如USB接入、非法外联、进程注入）。</w:t>
      </w:r>
    </w:p>
    <w:p w14:paraId="59B7AB8D">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测试违规行为告警及阻断功能（如弹窗、日志记录）。</w:t>
      </w:r>
    </w:p>
    <w:p w14:paraId="3525DAF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数据防泄漏（DLP）</w:t>
      </w:r>
    </w:p>
    <w:p w14:paraId="7B0513E3">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验证敏感文件外发管控（如邮件附件、云盘上传）是否生效。</w:t>
      </w:r>
    </w:p>
    <w:p w14:paraId="0F3B8BA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测试加密策略（如全盘加密、文件级加密）。</w:t>
      </w:r>
    </w:p>
    <w:p w14:paraId="5F84BCC5">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远程管理能力</w:t>
      </w:r>
    </w:p>
    <w:p w14:paraId="221EBD55">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检查管理员能否远程下发策略、隔离设备或修复漏洞。</w:t>
      </w:r>
    </w:p>
    <w:p w14:paraId="53D6040C">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2. 性能验收</w:t>
      </w:r>
    </w:p>
    <w:p w14:paraId="3A1F17E7">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资源占用</w:t>
      </w:r>
    </w:p>
    <w:p w14:paraId="5948C5AC">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监控客户端CPU、内存、磁盘占用率，确保不影响终端正常使用（如不超过10%资源占用）。</w:t>
      </w:r>
    </w:p>
    <w:p w14:paraId="15C02D55">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并发处理能力</w:t>
      </w:r>
    </w:p>
    <w:p w14:paraId="12A393E7">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模拟大规模终端同时接入，测试系统是否延迟或崩溃。</w:t>
      </w:r>
    </w:p>
    <w:p w14:paraId="44772BB9">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3. 安全验收</w:t>
      </w:r>
    </w:p>
    <w:p w14:paraId="6FF539C7">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日志审计</w:t>
      </w:r>
    </w:p>
    <w:p w14:paraId="265FCA6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验证日志记录完整性（如登录日志、病毒查杀记录），支持按时间、设备类型检索。</w:t>
      </w:r>
    </w:p>
    <w:p w14:paraId="4EF68361">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测试日志存储周期是否符合要求（如保留6个月以上）。</w:t>
      </w:r>
    </w:p>
    <w:p w14:paraId="42AB0BAB">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权限隔离</w:t>
      </w:r>
    </w:p>
    <w:p w14:paraId="333907AC">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检查普通用户是否无法篡改策略或关闭防护功能。</w:t>
      </w:r>
    </w:p>
    <w:p w14:paraId="6B54035A">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4. 策略验收</w:t>
      </w:r>
    </w:p>
    <w:p w14:paraId="20524123">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合规策略</w:t>
      </w:r>
    </w:p>
    <w:p w14:paraId="5DAFD13C">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验证策略是否覆盖所有终端类型（如PC、移动设备）。</w:t>
      </w:r>
    </w:p>
    <w:p w14:paraId="70C5B19D">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测试策略生效条件（如工作时间、地理围栏）。</w:t>
      </w:r>
    </w:p>
    <w:p w14:paraId="7D7458C4">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例外管理</w:t>
      </w:r>
    </w:p>
    <w:p w14:paraId="01AA7610">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检查白名单机制是否有效（如允许特定进程或外接设备）。</w:t>
      </w:r>
    </w:p>
    <w:p w14:paraId="05DF77C6">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5. 文档与培训</w:t>
      </w:r>
    </w:p>
    <w:p w14:paraId="6FB2F131">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提供完整的系统配置文档、操作手册及故障处理指南。</w:t>
      </w:r>
    </w:p>
    <w:p w14:paraId="19375E59">
      <w:pPr>
        <w:rPr>
          <w:rFonts w:ascii="微软雅黑" w:hAnsi="微软雅黑" w:eastAsia="微软雅黑" w:cs="微软雅黑"/>
        </w:rPr>
      </w:pPr>
      <w:r>
        <w:rPr>
          <w:rFonts w:hint="eastAsia" w:ascii="微软雅黑" w:hAnsi="微软雅黑" w:eastAsia="微软雅黑" w:cs="微软雅黑"/>
          <w:szCs w:val="21"/>
        </w:rPr>
        <w:t>确保管理员接受过系统配置、策略下发等培训。</w:t>
      </w:r>
    </w:p>
    <w:p w14:paraId="5867DFFF">
      <w:pPr>
        <w:rPr>
          <w:rFonts w:ascii="微软雅黑" w:hAnsi="微软雅黑" w:eastAsia="微软雅黑" w:cs="微软雅黑"/>
        </w:rPr>
      </w:pPr>
    </w:p>
    <w:p w14:paraId="3E8C12B2">
      <w:pPr>
        <w:rPr>
          <w:rFonts w:ascii="微软雅黑" w:hAnsi="微软雅黑" w:eastAsia="微软雅黑" w:cs="微软雅黑"/>
        </w:rPr>
        <w:sectPr>
          <w:headerReference r:id="rId3" w:type="default"/>
          <w:footerReference r:id="rId4" w:type="default"/>
          <w:pgSz w:w="11900" w:h="16840"/>
          <w:pgMar w:top="1120" w:right="1184" w:bottom="997" w:left="1780" w:header="846" w:footer="859" w:gutter="0"/>
          <w:cols w:space="720" w:num="1"/>
        </w:sectPr>
      </w:pPr>
    </w:p>
    <w:p w14:paraId="527A13EB">
      <w:pPr>
        <w:spacing w:line="360" w:lineRule="auto"/>
        <w:ind w:left="53"/>
        <w:rPr>
          <w:rFonts w:ascii="微软雅黑" w:hAnsi="微软雅黑" w:eastAsia="微软雅黑" w:cs="微软雅黑"/>
          <w:sz w:val="25"/>
          <w:szCs w:val="25"/>
        </w:rPr>
      </w:pPr>
      <w:r>
        <w:rPr>
          <w:rFonts w:hint="eastAsia" w:ascii="微软雅黑" w:hAnsi="微软雅黑" w:eastAsia="微软雅黑" w:cs="微软雅黑"/>
          <w:b/>
          <w:bCs/>
          <w:spacing w:val="-20"/>
          <w:sz w:val="25"/>
          <w:szCs w:val="25"/>
        </w:rPr>
        <w:t>附</w:t>
      </w:r>
      <w:r>
        <w:rPr>
          <w:rFonts w:hint="eastAsia" w:ascii="微软雅黑" w:hAnsi="微软雅黑" w:eastAsia="微软雅黑" w:cs="微软雅黑"/>
          <w:spacing w:val="-49"/>
          <w:sz w:val="25"/>
          <w:szCs w:val="25"/>
        </w:rPr>
        <w:t xml:space="preserve"> </w:t>
      </w:r>
      <w:r>
        <w:rPr>
          <w:rFonts w:hint="eastAsia" w:ascii="微软雅黑" w:hAnsi="微软雅黑" w:eastAsia="微软雅黑" w:cs="微软雅黑"/>
          <w:b/>
          <w:bCs/>
          <w:spacing w:val="-20"/>
          <w:sz w:val="25"/>
          <w:szCs w:val="25"/>
        </w:rPr>
        <w:t>件</w:t>
      </w:r>
      <w:r>
        <w:rPr>
          <w:rFonts w:hint="eastAsia" w:ascii="微软雅黑" w:hAnsi="微软雅黑" w:eastAsia="微软雅黑" w:cs="微软雅黑"/>
          <w:spacing w:val="-52"/>
          <w:sz w:val="25"/>
          <w:szCs w:val="25"/>
        </w:rPr>
        <w:t xml:space="preserve"> </w:t>
      </w:r>
      <w:r>
        <w:rPr>
          <w:rFonts w:hint="eastAsia" w:ascii="微软雅黑" w:hAnsi="微软雅黑" w:eastAsia="微软雅黑" w:cs="微软雅黑"/>
          <w:b/>
          <w:bCs/>
          <w:spacing w:val="-20"/>
          <w:sz w:val="25"/>
          <w:szCs w:val="25"/>
        </w:rPr>
        <w:t>二</w:t>
      </w:r>
      <w:r>
        <w:rPr>
          <w:rFonts w:hint="eastAsia" w:ascii="微软雅黑" w:hAnsi="微软雅黑" w:eastAsia="微软雅黑" w:cs="微软雅黑"/>
          <w:spacing w:val="-57"/>
          <w:sz w:val="25"/>
          <w:szCs w:val="25"/>
        </w:rPr>
        <w:t xml:space="preserve"> </w:t>
      </w:r>
      <w:r>
        <w:rPr>
          <w:rFonts w:hint="eastAsia" w:ascii="微软雅黑" w:hAnsi="微软雅黑" w:eastAsia="微软雅黑" w:cs="微软雅黑"/>
          <w:b/>
          <w:bCs/>
          <w:spacing w:val="-20"/>
          <w:sz w:val="25"/>
          <w:szCs w:val="25"/>
        </w:rPr>
        <w:t>验</w:t>
      </w:r>
      <w:r>
        <w:rPr>
          <w:rFonts w:hint="eastAsia" w:ascii="微软雅黑" w:hAnsi="微软雅黑" w:eastAsia="微软雅黑" w:cs="微软雅黑"/>
          <w:spacing w:val="-46"/>
          <w:sz w:val="25"/>
          <w:szCs w:val="25"/>
        </w:rPr>
        <w:t xml:space="preserve"> </w:t>
      </w:r>
      <w:r>
        <w:rPr>
          <w:rFonts w:hint="eastAsia" w:ascii="微软雅黑" w:hAnsi="微软雅黑" w:eastAsia="微软雅黑" w:cs="微软雅黑"/>
          <w:b/>
          <w:bCs/>
          <w:spacing w:val="-20"/>
          <w:sz w:val="25"/>
          <w:szCs w:val="25"/>
        </w:rPr>
        <w:t>收</w:t>
      </w:r>
      <w:r>
        <w:rPr>
          <w:rFonts w:hint="eastAsia" w:ascii="微软雅黑" w:hAnsi="微软雅黑" w:eastAsia="微软雅黑" w:cs="微软雅黑"/>
          <w:spacing w:val="-54"/>
          <w:sz w:val="25"/>
          <w:szCs w:val="25"/>
        </w:rPr>
        <w:t xml:space="preserve"> </w:t>
      </w:r>
      <w:r>
        <w:rPr>
          <w:rFonts w:hint="eastAsia" w:ascii="微软雅黑" w:hAnsi="微软雅黑" w:eastAsia="微软雅黑" w:cs="微软雅黑"/>
          <w:b/>
          <w:bCs/>
          <w:spacing w:val="-20"/>
          <w:sz w:val="25"/>
          <w:szCs w:val="25"/>
        </w:rPr>
        <w:t>单</w:t>
      </w:r>
      <w:r>
        <w:rPr>
          <w:rFonts w:hint="eastAsia" w:ascii="微软雅黑" w:hAnsi="微软雅黑" w:eastAsia="微软雅黑" w:cs="微软雅黑"/>
          <w:spacing w:val="-12"/>
          <w:sz w:val="25"/>
          <w:szCs w:val="25"/>
        </w:rPr>
        <w:t xml:space="preserve"> </w:t>
      </w:r>
      <w:r>
        <w:rPr>
          <w:rFonts w:hint="eastAsia" w:ascii="微软雅黑" w:hAnsi="微软雅黑" w:eastAsia="微软雅黑" w:cs="微软雅黑"/>
          <w:b/>
          <w:bCs/>
          <w:spacing w:val="-20"/>
          <w:sz w:val="25"/>
          <w:szCs w:val="25"/>
        </w:rPr>
        <w:t>(</w:t>
      </w:r>
      <w:r>
        <w:rPr>
          <w:rFonts w:hint="eastAsia" w:ascii="微软雅黑" w:hAnsi="微软雅黑" w:eastAsia="微软雅黑" w:cs="微软雅黑"/>
          <w:spacing w:val="-56"/>
          <w:sz w:val="25"/>
          <w:szCs w:val="25"/>
        </w:rPr>
        <w:t xml:space="preserve"> </w:t>
      </w:r>
      <w:r>
        <w:rPr>
          <w:rFonts w:hint="eastAsia" w:ascii="微软雅黑" w:hAnsi="微软雅黑" w:eastAsia="微软雅黑" w:cs="微软雅黑"/>
          <w:b/>
          <w:bCs/>
          <w:spacing w:val="-20"/>
          <w:sz w:val="25"/>
          <w:szCs w:val="25"/>
        </w:rPr>
        <w:t>样</w:t>
      </w:r>
      <w:r>
        <w:rPr>
          <w:rFonts w:hint="eastAsia" w:ascii="微软雅黑" w:hAnsi="微软雅黑" w:eastAsia="微软雅黑" w:cs="微软雅黑"/>
          <w:spacing w:val="-54"/>
          <w:sz w:val="25"/>
          <w:szCs w:val="25"/>
        </w:rPr>
        <w:t xml:space="preserve"> </w:t>
      </w:r>
      <w:r>
        <w:rPr>
          <w:rFonts w:hint="eastAsia" w:ascii="微软雅黑" w:hAnsi="微软雅黑" w:eastAsia="微软雅黑" w:cs="微软雅黑"/>
          <w:b/>
          <w:bCs/>
          <w:spacing w:val="-20"/>
          <w:sz w:val="25"/>
          <w:szCs w:val="25"/>
        </w:rPr>
        <w:t>单</w:t>
      </w:r>
      <w:r>
        <w:rPr>
          <w:rFonts w:hint="eastAsia" w:ascii="微软雅黑" w:hAnsi="微软雅黑" w:eastAsia="微软雅黑" w:cs="微软雅黑"/>
          <w:spacing w:val="-54"/>
          <w:sz w:val="25"/>
          <w:szCs w:val="25"/>
        </w:rPr>
        <w:t xml:space="preserve"> </w:t>
      </w:r>
      <w:r>
        <w:rPr>
          <w:rFonts w:hint="eastAsia" w:ascii="微软雅黑" w:hAnsi="微软雅黑" w:eastAsia="微软雅黑" w:cs="微软雅黑"/>
          <w:b/>
          <w:bCs/>
          <w:spacing w:val="-20"/>
          <w:sz w:val="25"/>
          <w:szCs w:val="25"/>
        </w:rPr>
        <w:t>)</w:t>
      </w:r>
    </w:p>
    <w:p w14:paraId="72803138">
      <w:pPr>
        <w:spacing w:line="360" w:lineRule="auto"/>
        <w:ind w:left="3344"/>
        <w:rPr>
          <w:rFonts w:ascii="微软雅黑" w:hAnsi="微软雅黑" w:eastAsia="微软雅黑" w:cs="微软雅黑"/>
          <w:sz w:val="32"/>
          <w:szCs w:val="32"/>
        </w:rPr>
      </w:pPr>
      <w:bookmarkStart w:id="13" w:name="OLE_LINK10"/>
      <w:r>
        <w:rPr>
          <w:rFonts w:hint="eastAsia" w:ascii="微软雅黑" w:hAnsi="微软雅黑" w:eastAsia="微软雅黑" w:cs="微软雅黑"/>
          <w:b/>
          <w:bCs/>
          <w:spacing w:val="-12"/>
          <w:sz w:val="32"/>
          <w:szCs w:val="32"/>
        </w:rPr>
        <w:t>技术服务验收单</w:t>
      </w:r>
    </w:p>
    <w:tbl>
      <w:tblPr>
        <w:tblStyle w:val="67"/>
        <w:tblW w:w="881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2"/>
        <w:gridCol w:w="2947"/>
        <w:gridCol w:w="1338"/>
        <w:gridCol w:w="1873"/>
      </w:tblGrid>
      <w:tr w14:paraId="29B74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652" w:type="dxa"/>
          </w:tcPr>
          <w:p w14:paraId="4B027E94">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5"/>
                <w:sz w:val="23"/>
                <w:szCs w:val="23"/>
              </w:rPr>
              <w:t>项目名称</w:t>
            </w:r>
          </w:p>
        </w:tc>
        <w:tc>
          <w:tcPr>
            <w:tcW w:w="6158" w:type="dxa"/>
            <w:gridSpan w:val="3"/>
          </w:tcPr>
          <w:p w14:paraId="4D4C99EC">
            <w:pPr>
              <w:spacing w:after="160" w:line="360" w:lineRule="auto"/>
              <w:ind w:left="2406"/>
              <w:rPr>
                <w:rFonts w:ascii="微软雅黑" w:hAnsi="微软雅黑" w:eastAsia="微软雅黑" w:cs="微软雅黑"/>
                <w:sz w:val="23"/>
                <w:szCs w:val="23"/>
              </w:rPr>
            </w:pPr>
          </w:p>
        </w:tc>
      </w:tr>
      <w:tr w14:paraId="66DF1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652" w:type="dxa"/>
          </w:tcPr>
          <w:p w14:paraId="258CEB63">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3"/>
                <w:sz w:val="23"/>
                <w:szCs w:val="23"/>
              </w:rPr>
              <w:t>甲方或甲方授权验收方</w:t>
            </w:r>
          </w:p>
        </w:tc>
        <w:tc>
          <w:tcPr>
            <w:tcW w:w="6158" w:type="dxa"/>
            <w:gridSpan w:val="3"/>
          </w:tcPr>
          <w:p w14:paraId="2370D422">
            <w:pPr>
              <w:spacing w:after="160" w:line="360" w:lineRule="auto"/>
              <w:ind w:left="2406"/>
              <w:rPr>
                <w:rFonts w:ascii="微软雅黑" w:hAnsi="微软雅黑" w:eastAsia="微软雅黑" w:cs="微软雅黑"/>
                <w:sz w:val="23"/>
                <w:szCs w:val="23"/>
              </w:rPr>
            </w:pPr>
            <w:r>
              <w:rPr>
                <w:rFonts w:hint="eastAsia" w:ascii="微软雅黑" w:hAnsi="微软雅黑" w:eastAsia="微软雅黑" w:cs="微软雅黑"/>
                <w:b/>
                <w:bCs/>
                <w:spacing w:val="1"/>
                <w:sz w:val="23"/>
                <w:szCs w:val="23"/>
              </w:rPr>
              <w:t>丹阳市人民医院</w:t>
            </w:r>
          </w:p>
        </w:tc>
      </w:tr>
      <w:tr w14:paraId="407B1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2" w:type="dxa"/>
          </w:tcPr>
          <w:p w14:paraId="770145EE">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3"/>
                <w:sz w:val="23"/>
                <w:szCs w:val="23"/>
              </w:rPr>
              <w:t>服务方(乙方)</w:t>
            </w:r>
          </w:p>
        </w:tc>
        <w:tc>
          <w:tcPr>
            <w:tcW w:w="6158" w:type="dxa"/>
            <w:gridSpan w:val="3"/>
          </w:tcPr>
          <w:p w14:paraId="652F7890">
            <w:pPr>
              <w:spacing w:after="160" w:line="360" w:lineRule="auto"/>
              <w:ind w:left="116"/>
              <w:rPr>
                <w:rFonts w:ascii="微软雅黑" w:hAnsi="微软雅黑" w:eastAsia="微软雅黑" w:cs="微软雅黑"/>
                <w:sz w:val="23"/>
                <w:szCs w:val="23"/>
              </w:rPr>
            </w:pPr>
          </w:p>
        </w:tc>
      </w:tr>
      <w:tr w14:paraId="69828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2" w:type="dxa"/>
          </w:tcPr>
          <w:p w14:paraId="5F920FF5">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5"/>
                <w:sz w:val="23"/>
                <w:szCs w:val="23"/>
              </w:rPr>
              <w:t>合同日期</w:t>
            </w:r>
          </w:p>
        </w:tc>
        <w:tc>
          <w:tcPr>
            <w:tcW w:w="2947" w:type="dxa"/>
          </w:tcPr>
          <w:p w14:paraId="3F3C19CE">
            <w:pPr>
              <w:spacing w:after="160" w:line="360" w:lineRule="auto"/>
              <w:ind w:left="656"/>
              <w:rPr>
                <w:rFonts w:ascii="微软雅黑" w:hAnsi="微软雅黑" w:eastAsia="微软雅黑" w:cs="微软雅黑"/>
                <w:sz w:val="23"/>
                <w:szCs w:val="23"/>
              </w:rPr>
            </w:pPr>
            <w:r>
              <w:rPr>
                <w:rFonts w:hint="eastAsia" w:ascii="微软雅黑" w:hAnsi="微软雅黑" w:eastAsia="微软雅黑" w:cs="微软雅黑"/>
                <w:b/>
                <w:bCs/>
                <w:spacing w:val="-11"/>
                <w:sz w:val="23"/>
                <w:szCs w:val="23"/>
              </w:rPr>
              <w:t>年</w:t>
            </w:r>
            <w:r>
              <w:rPr>
                <w:rFonts w:hint="eastAsia" w:ascii="微软雅黑" w:hAnsi="微软雅黑" w:eastAsia="微软雅黑" w:cs="微软雅黑"/>
                <w:spacing w:val="15"/>
                <w:sz w:val="23"/>
                <w:szCs w:val="23"/>
              </w:rPr>
              <w:t xml:space="preserve">  </w:t>
            </w:r>
            <w:r>
              <w:rPr>
                <w:rFonts w:hint="eastAsia" w:ascii="微软雅黑" w:hAnsi="微软雅黑" w:eastAsia="微软雅黑" w:cs="微软雅黑"/>
                <w:b/>
                <w:bCs/>
                <w:spacing w:val="-11"/>
                <w:sz w:val="23"/>
                <w:szCs w:val="23"/>
              </w:rPr>
              <w:t>月</w:t>
            </w:r>
            <w:r>
              <w:rPr>
                <w:rFonts w:hint="eastAsia" w:ascii="微软雅黑" w:hAnsi="微软雅黑" w:eastAsia="微软雅黑" w:cs="微软雅黑"/>
                <w:spacing w:val="24"/>
                <w:sz w:val="23"/>
                <w:szCs w:val="23"/>
              </w:rPr>
              <w:t xml:space="preserve">   </w:t>
            </w:r>
            <w:r>
              <w:rPr>
                <w:rFonts w:hint="eastAsia" w:ascii="微软雅黑" w:hAnsi="微软雅黑" w:eastAsia="微软雅黑" w:cs="微软雅黑"/>
                <w:b/>
                <w:bCs/>
                <w:spacing w:val="-11"/>
                <w:sz w:val="23"/>
                <w:szCs w:val="23"/>
              </w:rPr>
              <w:t>日</w:t>
            </w:r>
          </w:p>
        </w:tc>
        <w:tc>
          <w:tcPr>
            <w:tcW w:w="1338" w:type="dxa"/>
          </w:tcPr>
          <w:p w14:paraId="71A05134">
            <w:pPr>
              <w:spacing w:after="160" w:line="360" w:lineRule="auto"/>
              <w:ind w:left="89"/>
              <w:rPr>
                <w:rFonts w:ascii="微软雅黑" w:hAnsi="微软雅黑" w:eastAsia="微软雅黑" w:cs="微软雅黑"/>
                <w:sz w:val="23"/>
                <w:szCs w:val="23"/>
              </w:rPr>
            </w:pPr>
            <w:r>
              <w:rPr>
                <w:rFonts w:hint="eastAsia" w:ascii="微软雅黑" w:hAnsi="微软雅黑" w:eastAsia="微软雅黑" w:cs="微软雅黑"/>
                <w:b/>
                <w:bCs/>
                <w:spacing w:val="-5"/>
                <w:sz w:val="23"/>
                <w:szCs w:val="23"/>
              </w:rPr>
              <w:t>合同编号</w:t>
            </w:r>
          </w:p>
        </w:tc>
        <w:tc>
          <w:tcPr>
            <w:tcW w:w="1873" w:type="dxa"/>
          </w:tcPr>
          <w:p w14:paraId="644B15A6">
            <w:pPr>
              <w:spacing w:after="160" w:line="360" w:lineRule="auto"/>
              <w:rPr>
                <w:rFonts w:ascii="微软雅黑" w:hAnsi="微软雅黑" w:eastAsia="微软雅黑" w:cs="微软雅黑"/>
              </w:rPr>
            </w:pPr>
          </w:p>
        </w:tc>
      </w:tr>
      <w:tr w14:paraId="006D0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10" w:type="dxa"/>
            <w:gridSpan w:val="4"/>
          </w:tcPr>
          <w:p w14:paraId="2F00017C">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4"/>
                <w:position w:val="-2"/>
                <w:sz w:val="23"/>
                <w:szCs w:val="23"/>
              </w:rPr>
              <w:t>主要内容：</w:t>
            </w:r>
            <w:r>
              <w:rPr>
                <w:rFonts w:hint="eastAsia" w:ascii="微软雅黑" w:hAnsi="微软雅黑" w:eastAsia="微软雅黑" w:cs="微软雅黑"/>
                <w:spacing w:val="1"/>
                <w:position w:val="-2"/>
                <w:sz w:val="23"/>
                <w:szCs w:val="23"/>
              </w:rPr>
              <w:t xml:space="preserve">          </w:t>
            </w:r>
            <w:r>
              <w:rPr>
                <w:rFonts w:hint="eastAsia" w:ascii="微软雅黑" w:hAnsi="微软雅黑" w:eastAsia="微软雅黑" w:cs="微软雅黑"/>
                <w:spacing w:val="4"/>
                <w:sz w:val="23"/>
                <w:szCs w:val="23"/>
              </w:rPr>
              <w:t>系统需求开发和技术服务，具体工作内容包括：</w:t>
            </w:r>
          </w:p>
        </w:tc>
      </w:tr>
      <w:tr w14:paraId="5ED53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10" w:type="dxa"/>
            <w:gridSpan w:val="4"/>
          </w:tcPr>
          <w:p w14:paraId="5A5F243B">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5"/>
                <w:position w:val="-2"/>
                <w:sz w:val="23"/>
                <w:szCs w:val="23"/>
              </w:rPr>
              <w:t xml:space="preserve">项目概况： </w:t>
            </w:r>
            <w:r>
              <w:rPr>
                <w:rFonts w:hint="eastAsia" w:ascii="微软雅黑" w:hAnsi="微软雅黑" w:eastAsia="微软雅黑" w:cs="微软雅黑"/>
                <w:spacing w:val="8"/>
                <w:position w:val="-2"/>
                <w:sz w:val="23"/>
                <w:szCs w:val="23"/>
              </w:rPr>
              <w:t xml:space="preserve">        </w:t>
            </w:r>
            <w:r>
              <w:rPr>
                <w:rFonts w:hint="eastAsia" w:ascii="微软雅黑" w:hAnsi="微软雅黑" w:eastAsia="微软雅黑" w:cs="微软雅黑"/>
                <w:spacing w:val="5"/>
                <w:sz w:val="23"/>
                <w:szCs w:val="23"/>
              </w:rPr>
              <w:t>系统已完成合同中约定的功能并通过了测试和更新工作。</w:t>
            </w:r>
          </w:p>
        </w:tc>
      </w:tr>
      <w:tr w14:paraId="4F87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7" w:hRule="atLeast"/>
        </w:trPr>
        <w:tc>
          <w:tcPr>
            <w:tcW w:w="8810" w:type="dxa"/>
            <w:gridSpan w:val="4"/>
          </w:tcPr>
          <w:p w14:paraId="1F1C989F">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35"/>
                <w:sz w:val="23"/>
                <w:szCs w:val="23"/>
              </w:rPr>
              <w:t>服务方(乙方):</w:t>
            </w:r>
          </w:p>
          <w:p w14:paraId="071E1603">
            <w:pPr>
              <w:spacing w:after="160" w:line="360" w:lineRule="auto"/>
              <w:ind w:left="545"/>
              <w:rPr>
                <w:rFonts w:ascii="微软雅黑" w:hAnsi="微软雅黑" w:eastAsia="微软雅黑" w:cs="微软雅黑"/>
                <w:sz w:val="23"/>
                <w:szCs w:val="23"/>
              </w:rPr>
            </w:pPr>
            <w:r>
              <w:rPr>
                <w:rFonts w:hint="eastAsia" w:ascii="微软雅黑" w:hAnsi="微软雅黑" w:eastAsia="微软雅黑" w:cs="微软雅黑"/>
                <w:sz w:val="23"/>
                <w:szCs w:val="23"/>
              </w:rPr>
              <w:t>在甲方各级领导的大力支持和甲方全体职工的紧密配合下，经</w:t>
            </w:r>
            <w:r>
              <w:rPr>
                <w:rFonts w:hint="eastAsia" w:ascii="微软雅黑" w:hAnsi="微软雅黑" w:eastAsia="微软雅黑" w:cs="微软雅黑"/>
                <w:spacing w:val="-1"/>
                <w:sz w:val="23"/>
                <w:szCs w:val="23"/>
              </w:rPr>
              <w:t>过甲乙双方技术人</w:t>
            </w:r>
          </w:p>
          <w:p w14:paraId="013853A6">
            <w:pPr>
              <w:spacing w:after="160" w:line="360" w:lineRule="auto"/>
              <w:ind w:left="94"/>
              <w:rPr>
                <w:rFonts w:ascii="微软雅黑" w:hAnsi="微软雅黑" w:eastAsia="微软雅黑" w:cs="微软雅黑"/>
                <w:sz w:val="23"/>
                <w:szCs w:val="23"/>
              </w:rPr>
            </w:pPr>
            <w:r>
              <w:rPr>
                <w:rFonts w:hint="eastAsia" w:ascii="微软雅黑" w:hAnsi="微软雅黑" w:eastAsia="微软雅黑" w:cs="微软雅黑"/>
                <w:spacing w:val="-6"/>
                <w:sz w:val="23"/>
                <w:szCs w:val="23"/>
              </w:rPr>
              <w:t>员的共同努力，</w:t>
            </w:r>
            <w:r>
              <w:rPr>
                <w:rFonts w:hint="eastAsia" w:ascii="微软雅黑" w:hAnsi="微软雅黑" w:eastAsia="微软雅黑" w:cs="微软雅黑"/>
                <w:spacing w:val="26"/>
                <w:sz w:val="23"/>
                <w:szCs w:val="23"/>
              </w:rPr>
              <w:t xml:space="preserve">   </w:t>
            </w:r>
            <w:r>
              <w:rPr>
                <w:rFonts w:hint="eastAsia" w:ascii="微软雅黑" w:hAnsi="微软雅黑" w:eastAsia="微软雅黑" w:cs="微软雅黑"/>
                <w:spacing w:val="-6"/>
                <w:sz w:val="23"/>
                <w:szCs w:val="23"/>
              </w:rPr>
              <w:t>医院</w:t>
            </w:r>
            <w:r>
              <w:rPr>
                <w:rFonts w:hint="eastAsia" w:ascii="微软雅黑" w:hAnsi="微软雅黑" w:eastAsia="微软雅黑" w:cs="微软雅黑"/>
                <w:spacing w:val="7"/>
                <w:sz w:val="23"/>
                <w:szCs w:val="23"/>
              </w:rPr>
              <w:t xml:space="preserve">               </w:t>
            </w:r>
            <w:r>
              <w:rPr>
                <w:rFonts w:hint="eastAsia" w:ascii="微软雅黑" w:hAnsi="微软雅黑" w:eastAsia="微软雅黑" w:cs="微软雅黑"/>
                <w:spacing w:val="-6"/>
                <w:sz w:val="23"/>
                <w:szCs w:val="23"/>
              </w:rPr>
              <w:t>需求已经完成测试和更新。乙方已</w:t>
            </w:r>
            <w:r>
              <w:rPr>
                <w:rFonts w:hint="eastAsia" w:ascii="微软雅黑" w:hAnsi="微软雅黑" w:eastAsia="微软雅黑" w:cs="微软雅黑"/>
                <w:spacing w:val="-7"/>
                <w:sz w:val="23"/>
                <w:szCs w:val="23"/>
              </w:rPr>
              <w:t>经完成合</w:t>
            </w:r>
          </w:p>
          <w:p w14:paraId="73D11361">
            <w:pPr>
              <w:spacing w:after="160" w:line="360" w:lineRule="auto"/>
              <w:ind w:left="94"/>
              <w:rPr>
                <w:rFonts w:ascii="微软雅黑" w:hAnsi="微软雅黑" w:eastAsia="微软雅黑" w:cs="微软雅黑"/>
                <w:sz w:val="23"/>
                <w:szCs w:val="23"/>
              </w:rPr>
            </w:pPr>
            <w:r>
              <w:rPr>
                <w:rFonts w:hint="eastAsia" w:ascii="微软雅黑" w:hAnsi="微软雅黑" w:eastAsia="微软雅黑" w:cs="微软雅黑"/>
                <w:position w:val="16"/>
                <w:sz w:val="23"/>
                <w:szCs w:val="23"/>
              </w:rPr>
              <w:t>同中要求的本阶段主要工作，系统基本符合合同规定的功能要求，可以进行功能总体</w:t>
            </w:r>
          </w:p>
          <w:p w14:paraId="51572342">
            <w:pPr>
              <w:spacing w:after="160" w:line="360" w:lineRule="auto"/>
              <w:ind w:left="94"/>
              <w:rPr>
                <w:rFonts w:ascii="微软雅黑" w:hAnsi="微软雅黑" w:eastAsia="微软雅黑" w:cs="微软雅黑"/>
                <w:spacing w:val="-9"/>
                <w:sz w:val="23"/>
                <w:szCs w:val="23"/>
              </w:rPr>
            </w:pPr>
            <w:r>
              <w:rPr>
                <w:rFonts w:hint="eastAsia" w:ascii="微软雅黑" w:hAnsi="微软雅黑" w:eastAsia="微软雅黑" w:cs="微软雅黑"/>
                <w:spacing w:val="-9"/>
                <w:sz w:val="23"/>
                <w:szCs w:val="23"/>
              </w:rPr>
              <w:t>验</w:t>
            </w:r>
            <w:r>
              <w:rPr>
                <w:rFonts w:hint="eastAsia" w:ascii="微软雅黑" w:hAnsi="微软雅黑" w:eastAsia="微软雅黑" w:cs="微软雅黑"/>
                <w:spacing w:val="-19"/>
                <w:sz w:val="23"/>
                <w:szCs w:val="23"/>
              </w:rPr>
              <w:t xml:space="preserve"> </w:t>
            </w:r>
            <w:r>
              <w:rPr>
                <w:rFonts w:hint="eastAsia" w:ascii="微软雅黑" w:hAnsi="微软雅黑" w:eastAsia="微软雅黑" w:cs="微软雅黑"/>
                <w:spacing w:val="-9"/>
                <w:sz w:val="23"/>
                <w:szCs w:val="23"/>
              </w:rPr>
              <w:t>收</w:t>
            </w:r>
            <w:r>
              <w:rPr>
                <w:rFonts w:hint="eastAsia" w:ascii="微软雅黑" w:hAnsi="微软雅黑" w:eastAsia="微软雅黑" w:cs="微软雅黑"/>
                <w:spacing w:val="-37"/>
                <w:sz w:val="23"/>
                <w:szCs w:val="23"/>
              </w:rPr>
              <w:t xml:space="preserve"> </w:t>
            </w:r>
            <w:r>
              <w:rPr>
                <w:rFonts w:hint="eastAsia" w:ascii="微软雅黑" w:hAnsi="微软雅黑" w:eastAsia="微软雅黑" w:cs="微软雅黑"/>
                <w:spacing w:val="-9"/>
                <w:sz w:val="23"/>
                <w:szCs w:val="23"/>
              </w:rPr>
              <w:t>。</w:t>
            </w:r>
          </w:p>
        </w:tc>
      </w:tr>
      <w:tr w14:paraId="16E85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8810" w:type="dxa"/>
            <w:gridSpan w:val="4"/>
          </w:tcPr>
          <w:p w14:paraId="6B3BC5C2">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33"/>
                <w:sz w:val="23"/>
                <w:szCs w:val="23"/>
              </w:rPr>
              <w:t>委托方(甲方):</w:t>
            </w:r>
          </w:p>
          <w:p w14:paraId="4A44BCFE">
            <w:pPr>
              <w:spacing w:after="160" w:line="360" w:lineRule="auto"/>
              <w:ind w:left="624"/>
              <w:rPr>
                <w:rFonts w:ascii="微软雅黑" w:hAnsi="微软雅黑" w:eastAsia="微软雅黑" w:cs="微软雅黑"/>
                <w:sz w:val="23"/>
                <w:szCs w:val="23"/>
              </w:rPr>
            </w:pPr>
            <w:r>
              <w:rPr>
                <w:rFonts w:hint="eastAsia" w:ascii="微软雅黑" w:hAnsi="微软雅黑" w:eastAsia="微软雅黑" w:cs="微软雅黑"/>
                <w:position w:val="20"/>
                <w:sz w:val="23"/>
                <w:szCs w:val="23"/>
              </w:rPr>
              <w:t>乙方已经按合同规定的义务完成合同内容，目前系统运行稳定，符合甲方信息化</w:t>
            </w:r>
          </w:p>
          <w:p w14:paraId="0E4816D5">
            <w:pPr>
              <w:spacing w:after="160" w:line="360" w:lineRule="auto"/>
              <w:ind w:left="94"/>
              <w:rPr>
                <w:rFonts w:ascii="微软雅黑" w:hAnsi="微软雅黑" w:eastAsia="微软雅黑" w:cs="微软雅黑"/>
                <w:spacing w:val="7"/>
                <w:sz w:val="23"/>
                <w:szCs w:val="23"/>
              </w:rPr>
            </w:pPr>
            <w:r>
              <w:rPr>
                <w:rFonts w:hint="eastAsia" w:ascii="微软雅黑" w:hAnsi="微软雅黑" w:eastAsia="微软雅黑" w:cs="微软雅黑"/>
                <w:spacing w:val="7"/>
                <w:sz w:val="23"/>
                <w:szCs w:val="23"/>
              </w:rPr>
              <w:t>建设目标，交互功能总体验收通过。</w:t>
            </w:r>
          </w:p>
          <w:p w14:paraId="5957C536">
            <w:pPr>
              <w:spacing w:after="160" w:line="360" w:lineRule="auto"/>
              <w:rPr>
                <w:rFonts w:ascii="微软雅黑" w:hAnsi="微软雅黑" w:eastAsia="微软雅黑" w:cs="微软雅黑"/>
                <w:spacing w:val="7"/>
                <w:sz w:val="23"/>
                <w:szCs w:val="23"/>
              </w:rPr>
            </w:pPr>
          </w:p>
          <w:p w14:paraId="63606F4D">
            <w:pPr>
              <w:spacing w:after="160" w:line="360" w:lineRule="auto"/>
              <w:ind w:left="94"/>
              <w:rPr>
                <w:rFonts w:ascii="微软雅黑" w:hAnsi="微软雅黑" w:eastAsia="微软雅黑" w:cs="微软雅黑"/>
                <w:spacing w:val="7"/>
                <w:sz w:val="23"/>
                <w:szCs w:val="23"/>
              </w:rPr>
            </w:pPr>
            <w:r>
              <w:rPr>
                <w:rFonts w:hint="eastAsia" w:ascii="微软雅黑" w:hAnsi="微软雅黑" w:eastAsia="微软雅黑" w:cs="微软雅黑"/>
                <w:spacing w:val="7"/>
                <w:sz w:val="23"/>
                <w:szCs w:val="23"/>
              </w:rPr>
              <w:t xml:space="preserve">单位：丹阳市人民医院                         </w:t>
            </w:r>
          </w:p>
          <w:p w14:paraId="27292E45">
            <w:pPr>
              <w:spacing w:after="160" w:line="360" w:lineRule="auto"/>
              <w:ind w:left="94"/>
              <w:rPr>
                <w:rFonts w:ascii="微软雅黑" w:hAnsi="微软雅黑" w:eastAsia="微软雅黑" w:cs="微软雅黑"/>
                <w:spacing w:val="7"/>
                <w:sz w:val="23"/>
                <w:szCs w:val="23"/>
              </w:rPr>
            </w:pPr>
            <w:r>
              <w:rPr>
                <w:rFonts w:hint="eastAsia" w:ascii="微软雅黑" w:hAnsi="微软雅黑" w:eastAsia="微软雅黑" w:cs="微软雅黑"/>
                <w:spacing w:val="7"/>
                <w:sz w:val="23"/>
                <w:szCs w:val="23"/>
              </w:rPr>
              <w:t>代表签字：</w:t>
            </w:r>
          </w:p>
          <w:p w14:paraId="1E4AF0C9">
            <w:pPr>
              <w:spacing w:after="160" w:line="360" w:lineRule="auto"/>
              <w:ind w:left="94"/>
              <w:rPr>
                <w:rFonts w:ascii="微软雅黑" w:hAnsi="微软雅黑" w:eastAsia="微软雅黑" w:cs="微软雅黑"/>
                <w:spacing w:val="7"/>
                <w:sz w:val="23"/>
                <w:szCs w:val="23"/>
              </w:rPr>
            </w:pPr>
            <w:r>
              <w:rPr>
                <w:rFonts w:hint="eastAsia" w:ascii="微软雅黑" w:hAnsi="微软雅黑" w:eastAsia="微软雅黑" w:cs="微软雅黑"/>
                <w:spacing w:val="-9"/>
                <w:sz w:val="23"/>
                <w:szCs w:val="23"/>
              </w:rPr>
              <w:t>乙方代表签字：</w:t>
            </w:r>
          </w:p>
          <w:p w14:paraId="30FCBBC4">
            <w:pPr>
              <w:spacing w:after="160" w:line="360" w:lineRule="auto"/>
              <w:ind w:left="94"/>
              <w:rPr>
                <w:rFonts w:ascii="微软雅黑" w:hAnsi="微软雅黑" w:eastAsia="微软雅黑" w:cs="微软雅黑"/>
                <w:spacing w:val="7"/>
                <w:sz w:val="23"/>
                <w:szCs w:val="23"/>
              </w:rPr>
            </w:pPr>
            <w:r>
              <w:rPr>
                <w:rFonts w:hint="eastAsia" w:ascii="微软雅黑" w:hAnsi="微软雅黑" w:eastAsia="微软雅黑" w:cs="微软雅黑"/>
                <w:spacing w:val="7"/>
                <w:sz w:val="23"/>
                <w:szCs w:val="23"/>
              </w:rPr>
              <w:t>日期：</w:t>
            </w:r>
          </w:p>
        </w:tc>
      </w:tr>
      <w:bookmarkEnd w:id="13"/>
    </w:tbl>
    <w:p w14:paraId="28B6C371">
      <w:pPr>
        <w:spacing w:line="360" w:lineRule="auto"/>
        <w:rPr>
          <w:rFonts w:ascii="微软雅黑" w:hAnsi="微软雅黑" w:eastAsia="微软雅黑" w:cs="微软雅黑"/>
        </w:rPr>
      </w:pPr>
    </w:p>
    <w:p w14:paraId="67E13B58">
      <w:pPr>
        <w:spacing w:before="87" w:line="219" w:lineRule="auto"/>
        <w:ind w:left="53"/>
        <w:rPr>
          <w:rFonts w:ascii="微软雅黑" w:hAnsi="微软雅黑" w:eastAsia="微软雅黑" w:cs="微软雅黑"/>
          <w:b/>
          <w:bCs/>
          <w:spacing w:val="-17"/>
          <w:sz w:val="27"/>
          <w:szCs w:val="27"/>
        </w:rPr>
      </w:pPr>
      <w:bookmarkStart w:id="14" w:name="_Hlk195102873"/>
      <w:r>
        <w:rPr>
          <w:rFonts w:hint="eastAsia" w:ascii="微软雅黑" w:hAnsi="微软雅黑" w:eastAsia="微软雅黑" w:cs="微软雅黑"/>
          <w:b/>
          <w:bCs/>
          <w:spacing w:val="-17"/>
          <w:sz w:val="27"/>
          <w:szCs w:val="27"/>
        </w:rPr>
        <w:t>附 件 三</w:t>
      </w:r>
    </w:p>
    <w:p w14:paraId="62A77DBB">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丹阳市人民医院医院信息化保密协议</w:t>
      </w:r>
    </w:p>
    <w:p w14:paraId="4C473A1B">
      <w:pPr>
        <w:spacing w:line="360" w:lineRule="auto"/>
        <w:rPr>
          <w:rFonts w:ascii="微软雅黑" w:hAnsi="微软雅黑" w:eastAsia="微软雅黑" w:cs="微软雅黑"/>
          <w:sz w:val="24"/>
        </w:rPr>
      </w:pPr>
      <w:r>
        <w:rPr>
          <w:rFonts w:hint="eastAsia" w:ascii="微软雅黑" w:hAnsi="微软雅黑" w:eastAsia="微软雅黑" w:cs="微软雅黑"/>
          <w:sz w:val="24"/>
        </w:rPr>
        <w:t>甲方:丹阳市人民医院</w:t>
      </w:r>
    </w:p>
    <w:p w14:paraId="485C89A0">
      <w:pPr>
        <w:spacing w:line="360" w:lineRule="auto"/>
        <w:rPr>
          <w:rFonts w:ascii="微软雅黑" w:hAnsi="微软雅黑" w:eastAsia="微软雅黑" w:cs="微软雅黑"/>
          <w:sz w:val="24"/>
        </w:rPr>
      </w:pPr>
      <w:r>
        <w:rPr>
          <w:rFonts w:hint="eastAsia" w:ascii="微软雅黑" w:hAnsi="微软雅黑" w:eastAsia="微软雅黑" w:cs="微软雅黑"/>
          <w:sz w:val="24"/>
        </w:rPr>
        <w:t>乙方：</w:t>
      </w:r>
    </w:p>
    <w:p w14:paraId="0CC288C0">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鉴于乙方受甲方委托承担</w:t>
      </w:r>
      <w:r>
        <w:rPr>
          <w:rFonts w:hint="eastAsia" w:ascii="微软雅黑" w:hAnsi="微软雅黑" w:eastAsia="微软雅黑" w:cs="微软雅黑"/>
          <w:sz w:val="24"/>
          <w:u w:val="single"/>
        </w:rPr>
        <w:t xml:space="preserve"> 丹阳市人民医院终端安全和准入控制系统                     </w:t>
      </w:r>
      <w:r>
        <w:rPr>
          <w:rFonts w:hint="eastAsia" w:ascii="微软雅黑" w:hAnsi="微软雅黑" w:eastAsia="微软雅黑" w:cs="微软雅黑"/>
          <w:sz w:val="24"/>
        </w:rPr>
        <w:t>项目，该项目将涉及甲方原业务系统的系统结构、系统原代码、系统帐号及口令、数据库内容、业务核心数据，项目建设需了解甲方的业务流程、各业务系统相关数据和信息，并获取相关文档资料。为进一步加强医疗卫生信息化行风建设，规范医疗卫生信息化机构操作行为，有效保障数据安全性、信息保密性等行为，营造隐私保密、安全和谐的实施环境，经甲、乙双方协商，现就文档资料、数据和信息使用所涉及的保密信息达成以下协议:</w:t>
      </w:r>
    </w:p>
    <w:p w14:paraId="1BB8B71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一、保密信息</w:t>
      </w:r>
    </w:p>
    <w:p w14:paraId="6AE2D3B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本协议所称“保密信息”是指由本协议甲方以任何形式（包括但不限于:书面，口头，或以样品、范本、计算机程序或其他形式）向本协议乙方披露的任何信息和资料，以及乙方在工作中接触到的一切属于甲方的信息和资料。</w:t>
      </w:r>
    </w:p>
    <w:p w14:paraId="751BC2E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2、上述“保密信息”包括但不限于:</w:t>
      </w:r>
    </w:p>
    <w:p w14:paraId="64CEB87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原业务系统的系统结构、系统原代码、系统帐号及口令、数据库内容、业务核心数据及业务流、业务系统相关数据和信息内容，以及其他专有信息等（以下统称“保密信息”）</w:t>
      </w:r>
    </w:p>
    <w:p w14:paraId="0CA8AFE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3、“保密信息”不包括下列信息:</w:t>
      </w:r>
    </w:p>
    <w:p w14:paraId="1CF7A13F">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(1)在生效日之前或之后成为公众所知（非因乙方的过错）；</w:t>
      </w:r>
    </w:p>
    <w:p w14:paraId="0702A9AF">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(2)乙方没有使用保密信息而独立开发的信息;</w:t>
      </w:r>
    </w:p>
    <w:p w14:paraId="3778C37D">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(3)乙方从第三方合法获取的信息。</w:t>
      </w:r>
    </w:p>
    <w:p w14:paraId="1326FF06">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二、权利保证</w:t>
      </w:r>
    </w:p>
    <w:p w14:paraId="18EA7D3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甲方保证其向乙方披露的专有信息不侵犯任何第三方的知识产权及其它合法权益。</w:t>
      </w:r>
    </w:p>
    <w:p w14:paraId="4CC216C0">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保密义务</w:t>
      </w:r>
    </w:p>
    <w:p w14:paraId="21AFE6A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乙方从甲方获得所有保密信息，乙方仅对保密信息具有使用权，而没有所有权、知识产权及解释权。</w:t>
      </w:r>
    </w:p>
    <w:p w14:paraId="56E20C26">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甲方所披露的保密信息只能被乙方用于本项目的实施工作，不得将甲方所披露的保密信息用于其它任何目的。</w:t>
      </w:r>
    </w:p>
    <w:p w14:paraId="15D9CED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3、乙方有义务妥善保管保密信息。乙方承诺采取合理的措施以保证保密信息不被泄露。</w:t>
      </w:r>
    </w:p>
    <w:p w14:paraId="1EE40F5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4、乙方仅能向有知悉必要的乙方人员（包括但不限于雇员或顾问）披露保密信息。一经发现对保密信息的任何未经授权的披露或乙方及其人员违反本协议时，乙方应立即通知甲方，并采取措施防止进一步未经授权而使用保密信息。</w:t>
      </w:r>
    </w:p>
    <w:p w14:paraId="4A922E5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5、未经甲方的事先书面批准，乙方不得直接或间接以任何形式或任何方式把保密信息或其中的任何部分披露、透露给任何第三方或者公开，乙方保证不向任何第三方披露本协议的存在或本协议的任何内容。</w:t>
      </w:r>
    </w:p>
    <w:p w14:paraId="374DBC4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6、严禁乙方工作人员利用工作便利以任何途径和方式，为甲方统计医师个人及临床科室有关医药产品用量信息，或为第三方统计提供便利。若工作中发现其他人员有相关违法违纪或泄露相关信息的行为，应立即与甲方或乙方负责人反馈。</w:t>
      </w:r>
    </w:p>
    <w:p w14:paraId="4401EC1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7、乙方应当告知并以适当方式要求其参与本项工作之雇员遵守本协议规定，乙方人员向第三方披露保密信息，或依据该等保密信息向第三方做出任何建议，都被视为乙方违反本协议。</w:t>
      </w:r>
    </w:p>
    <w:p w14:paraId="1079F19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8、乙方参加本项目的所有人员必须与乙方签有正式的保密协议，并且该人员在知晓保密信息前应已充分了解本协议的内容。</w:t>
      </w:r>
    </w:p>
    <w:p w14:paraId="039F4A60">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乙方不得全部或部分复制或仿造保密信息。</w:t>
      </w:r>
    </w:p>
    <w:p w14:paraId="2AF9FCC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甲方人员不得在未经过甲方纪检部门书面审批的情况下要求乙方为其统计医师个人及临床科室有关医药产品用量信息，或要求其以任何方式向第三方透露保密信息或其中的任何部分。</w:t>
      </w:r>
    </w:p>
    <w:p w14:paraId="043691A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四、违约责任</w:t>
      </w:r>
    </w:p>
    <w:p w14:paraId="48EA947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乙方违反本协议任何规定，均视为违约。违约方应当对其违约行为给甲方造成的损失承担赔偿责任，违约金为甲方与乙方签署的有关业务合作项目合同金额的10%，但当违约金不足以赔偿乙方给甲方造成的实际损失时，乙方仍须向甲方进行相应的赔偿，并向有关卫生计生行政部门报告。并严格按照《关于加强医院信息系统药品、高值耗材统计功能管理的通知》(卫办医发[2007]163号)相关规定处理。</w:t>
      </w:r>
    </w:p>
    <w:p w14:paraId="23267AD4">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五、保密期限</w:t>
      </w:r>
    </w:p>
    <w:p w14:paraId="06AE8836">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自甲方第一次向乙方披露任何保密信息之日后起直至该保密信息合法公开时止，乙方不得向任何第三方披露该保密信息。如果所涉及的保密信息依照国家主管机关或相关法律、法规另有规定的，适用其相关规定。乙方是否继续参与甲方关于该项目的工作，不影响保密义务的承担；任何一方违反本保密协议，违约方应赔偿守约方因此遭受的损失。</w:t>
      </w:r>
    </w:p>
    <w:p w14:paraId="66FD370D">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六、争议解决</w:t>
      </w:r>
    </w:p>
    <w:p w14:paraId="04520A04">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凡因执行本协议所发生的或与本协议有关的一切争议，双方应通过友好协商解决。如果协商不能解决时，可向甲方所在地人民法院起诉。</w:t>
      </w:r>
    </w:p>
    <w:p w14:paraId="406A6F5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七、其他</w:t>
      </w:r>
    </w:p>
    <w:p w14:paraId="05E4280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1、对于本协议条款的修改，只有经双方授权的代表书面签署方可生效并对双方具有约束力。</w:t>
      </w:r>
    </w:p>
    <w:p w14:paraId="3618C90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2、本协议正本一式肆份，甲乙双方各执贰份，均具同等法律效力。</w:t>
      </w:r>
    </w:p>
    <w:p w14:paraId="37A81D7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3、合同生效日期以最后一个签字日为准。</w:t>
      </w:r>
    </w:p>
    <w:p w14:paraId="58BDBAB0">
      <w:pPr>
        <w:spacing w:line="360" w:lineRule="auto"/>
        <w:ind w:firstLine="480" w:firstLineChars="200"/>
        <w:rPr>
          <w:rFonts w:ascii="微软雅黑" w:hAnsi="微软雅黑" w:eastAsia="微软雅黑" w:cs="微软雅黑"/>
          <w:sz w:val="24"/>
        </w:rPr>
      </w:pPr>
    </w:p>
    <w:p w14:paraId="06F854C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甲方(盖章):</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乙方(盖章):</w:t>
      </w:r>
    </w:p>
    <w:p w14:paraId="48F098A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法定代表人(负责人):</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 xml:space="preserve">      法定代表人(负责人):</w:t>
      </w:r>
    </w:p>
    <w:p w14:paraId="1B10FCB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经办人签名:</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经办人签名:</w:t>
      </w:r>
    </w:p>
    <w:p w14:paraId="2E1DE90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日期:</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日期:</w:t>
      </w:r>
    </w:p>
    <w:bookmarkEnd w:id="14"/>
    <w:p w14:paraId="5AC71201">
      <w:pPr>
        <w:spacing w:line="360" w:lineRule="auto"/>
        <w:rPr>
          <w:rFonts w:ascii="微软雅黑" w:hAnsi="微软雅黑" w:eastAsia="微软雅黑" w:cs="微软雅黑"/>
        </w:rPr>
      </w:pPr>
    </w:p>
    <w:p w14:paraId="00FCF382">
      <w:pPr>
        <w:spacing w:line="380" w:lineRule="exact"/>
        <w:rPr>
          <w:rFonts w:ascii="微软雅黑" w:hAnsi="微软雅黑" w:eastAsia="微软雅黑" w:cs="微软雅黑"/>
          <w:szCs w:val="21"/>
        </w:rPr>
      </w:pPr>
    </w:p>
    <w:p w14:paraId="005FBE59">
      <w:pPr>
        <w:spacing w:line="380" w:lineRule="exact"/>
        <w:rPr>
          <w:rFonts w:ascii="微软雅黑" w:hAnsi="微软雅黑" w:eastAsia="微软雅黑" w:cs="微软雅黑"/>
          <w:szCs w:val="21"/>
        </w:rPr>
      </w:pPr>
    </w:p>
    <w:p w14:paraId="04B264DB">
      <w:pPr>
        <w:spacing w:line="380" w:lineRule="exact"/>
        <w:rPr>
          <w:rFonts w:ascii="微软雅黑" w:hAnsi="微软雅黑" w:eastAsia="微软雅黑" w:cs="微软雅黑"/>
          <w:szCs w:val="21"/>
        </w:rPr>
      </w:pPr>
    </w:p>
    <w:p w14:paraId="640DF9E5">
      <w:pPr>
        <w:spacing w:line="380" w:lineRule="exact"/>
        <w:rPr>
          <w:rFonts w:ascii="微软雅黑" w:hAnsi="微软雅黑" w:eastAsia="微软雅黑" w:cs="微软雅黑"/>
          <w:szCs w:val="21"/>
        </w:rPr>
      </w:pPr>
    </w:p>
    <w:p w14:paraId="586E96C9">
      <w:pPr>
        <w:spacing w:line="380" w:lineRule="exact"/>
        <w:rPr>
          <w:rFonts w:ascii="微软雅黑" w:hAnsi="微软雅黑" w:eastAsia="微软雅黑" w:cs="微软雅黑"/>
          <w:szCs w:val="21"/>
        </w:rPr>
      </w:pPr>
    </w:p>
    <w:p w14:paraId="4DAC5661">
      <w:pPr>
        <w:spacing w:line="380" w:lineRule="exact"/>
        <w:rPr>
          <w:rFonts w:ascii="微软雅黑" w:hAnsi="微软雅黑" w:eastAsia="微软雅黑" w:cs="微软雅黑"/>
          <w:szCs w:val="21"/>
        </w:rPr>
      </w:pPr>
    </w:p>
    <w:p w14:paraId="660421AA">
      <w:pPr>
        <w:spacing w:line="380" w:lineRule="exact"/>
        <w:rPr>
          <w:rFonts w:ascii="微软雅黑" w:hAnsi="微软雅黑" w:eastAsia="微软雅黑" w:cs="微软雅黑"/>
          <w:szCs w:val="21"/>
        </w:rPr>
      </w:pPr>
    </w:p>
    <w:p w14:paraId="3AFDECB8">
      <w:pPr>
        <w:spacing w:line="380" w:lineRule="exact"/>
        <w:rPr>
          <w:rFonts w:ascii="微软雅黑" w:hAnsi="微软雅黑" w:eastAsia="微软雅黑" w:cs="微软雅黑"/>
          <w:szCs w:val="21"/>
        </w:rPr>
      </w:pPr>
    </w:p>
    <w:p w14:paraId="3DF48CF4">
      <w:pPr>
        <w:rPr>
          <w:rFonts w:ascii="微软雅黑" w:hAnsi="微软雅黑" w:eastAsia="微软雅黑" w:cs="微软雅黑"/>
          <w:b/>
          <w:bCs/>
          <w:sz w:val="32"/>
          <w:szCs w:val="32"/>
        </w:rPr>
      </w:pPr>
      <w:r>
        <w:rPr>
          <w:rFonts w:hint="eastAsia" w:ascii="微软雅黑" w:hAnsi="微软雅黑" w:eastAsia="微软雅黑" w:cs="微软雅黑"/>
          <w:b/>
          <w:bCs/>
          <w:sz w:val="32"/>
          <w:szCs w:val="32"/>
        </w:rPr>
        <w:br w:type="page"/>
      </w:r>
    </w:p>
    <w:p w14:paraId="4D947252">
      <w:pPr>
        <w:spacing w:line="380" w:lineRule="exact"/>
        <w:ind w:firstLine="1601" w:firstLineChars="500"/>
        <w:rPr>
          <w:rFonts w:ascii="微软雅黑" w:hAnsi="微软雅黑" w:eastAsia="微软雅黑" w:cs="微软雅黑"/>
          <w:b/>
          <w:bCs/>
          <w:sz w:val="32"/>
          <w:szCs w:val="32"/>
        </w:rPr>
      </w:pPr>
      <w:r>
        <w:rPr>
          <w:rFonts w:hint="eastAsia" w:ascii="微软雅黑" w:hAnsi="微软雅黑" w:eastAsia="微软雅黑" w:cs="微软雅黑"/>
          <w:b/>
          <w:bCs/>
          <w:sz w:val="32"/>
          <w:szCs w:val="32"/>
        </w:rPr>
        <w:t>第二部分 谈判响应文件（格式如下）</w:t>
      </w:r>
    </w:p>
    <w:p w14:paraId="14852458">
      <w:pPr>
        <w:snapToGrid w:val="0"/>
        <w:spacing w:line="380" w:lineRule="exact"/>
        <w:ind w:firstLine="2100" w:firstLineChars="1000"/>
        <w:rPr>
          <w:rFonts w:ascii="微软雅黑" w:hAnsi="微软雅黑" w:eastAsia="微软雅黑" w:cs="微软雅黑"/>
          <w:szCs w:val="21"/>
          <w:u w:val="single"/>
        </w:rPr>
      </w:pPr>
    </w:p>
    <w:p w14:paraId="539EF340">
      <w:pPr>
        <w:snapToGrid w:val="0"/>
        <w:spacing w:line="38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u w:val="single"/>
        </w:rPr>
        <w:t>丹阳市人民医院终端安全和准入控制系统采购项目</w:t>
      </w:r>
    </w:p>
    <w:p w14:paraId="4382084A">
      <w:pPr>
        <w:snapToGrid w:val="0"/>
        <w:spacing w:line="380" w:lineRule="exact"/>
        <w:ind w:firstLine="4216"/>
        <w:jc w:val="center"/>
        <w:rPr>
          <w:rFonts w:ascii="微软雅黑" w:hAnsi="微软雅黑" w:eastAsia="微软雅黑" w:cs="微软雅黑"/>
          <w:szCs w:val="21"/>
        </w:rPr>
      </w:pPr>
    </w:p>
    <w:p w14:paraId="51A299B0">
      <w:pPr>
        <w:pStyle w:val="24"/>
        <w:spacing w:line="380" w:lineRule="exact"/>
        <w:rPr>
          <w:rFonts w:ascii="微软雅黑" w:hAnsi="微软雅黑" w:eastAsia="微软雅黑" w:cs="微软雅黑"/>
          <w:szCs w:val="21"/>
        </w:rPr>
      </w:pPr>
    </w:p>
    <w:p w14:paraId="453E92DD">
      <w:pPr>
        <w:pStyle w:val="24"/>
        <w:spacing w:line="380" w:lineRule="exact"/>
        <w:rPr>
          <w:rFonts w:ascii="微软雅黑" w:hAnsi="微软雅黑" w:eastAsia="微软雅黑" w:cs="微软雅黑"/>
          <w:szCs w:val="21"/>
        </w:rPr>
      </w:pPr>
    </w:p>
    <w:p w14:paraId="34DF9606">
      <w:pPr>
        <w:snapToGrid w:val="0"/>
        <w:spacing w:line="380" w:lineRule="exact"/>
        <w:jc w:val="center"/>
        <w:rPr>
          <w:rFonts w:ascii="微软雅黑" w:hAnsi="微软雅黑" w:eastAsia="微软雅黑" w:cs="微软雅黑"/>
          <w:spacing w:val="40"/>
          <w:szCs w:val="21"/>
        </w:rPr>
      </w:pPr>
      <w:r>
        <w:rPr>
          <w:rFonts w:hint="eastAsia" w:ascii="微软雅黑" w:hAnsi="微软雅黑" w:eastAsia="微软雅黑" w:cs="微软雅黑"/>
          <w:spacing w:val="40"/>
          <w:szCs w:val="21"/>
        </w:rPr>
        <w:t>投 标 文 件</w:t>
      </w:r>
    </w:p>
    <w:p w14:paraId="6C77EBB6">
      <w:pPr>
        <w:snapToGrid w:val="0"/>
        <w:spacing w:line="380" w:lineRule="exact"/>
        <w:ind w:firstLine="4216"/>
        <w:rPr>
          <w:rFonts w:ascii="微软雅黑" w:hAnsi="微软雅黑" w:eastAsia="微软雅黑" w:cs="微软雅黑"/>
          <w:szCs w:val="21"/>
        </w:rPr>
      </w:pPr>
    </w:p>
    <w:p w14:paraId="73C2874A">
      <w:pPr>
        <w:snapToGrid w:val="0"/>
        <w:spacing w:line="380" w:lineRule="exact"/>
        <w:ind w:firstLine="4216"/>
        <w:rPr>
          <w:rFonts w:ascii="微软雅黑" w:hAnsi="微软雅黑" w:eastAsia="微软雅黑" w:cs="微软雅黑"/>
          <w:szCs w:val="21"/>
        </w:rPr>
      </w:pPr>
    </w:p>
    <w:p w14:paraId="03398BC3">
      <w:pPr>
        <w:spacing w:line="380" w:lineRule="exact"/>
        <w:jc w:val="center"/>
        <w:rPr>
          <w:rFonts w:ascii="微软雅黑" w:hAnsi="微软雅黑" w:eastAsia="微软雅黑" w:cs="微软雅黑"/>
          <w:szCs w:val="21"/>
        </w:rPr>
      </w:pPr>
      <w:r>
        <w:rPr>
          <w:rFonts w:hint="eastAsia" w:ascii="微软雅黑" w:hAnsi="微软雅黑" w:eastAsia="微软雅黑" w:cs="微软雅黑"/>
          <w:szCs w:val="21"/>
        </w:rPr>
        <w:t>（招标编号：</w:t>
      </w:r>
      <w:r>
        <w:rPr>
          <w:rFonts w:hint="eastAsia" w:ascii="微软雅黑" w:hAnsi="微软雅黑" w:eastAsia="微软雅黑" w:cs="微软雅黑"/>
          <w:szCs w:val="21"/>
          <w:u w:val="single"/>
        </w:rPr>
        <w:t xml:space="preserve">   DRY-CG-2025-033 </w:t>
      </w:r>
      <w:r>
        <w:rPr>
          <w:rFonts w:hint="eastAsia" w:ascii="微软雅黑" w:hAnsi="微软雅黑" w:eastAsia="微软雅黑" w:cs="微软雅黑"/>
          <w:szCs w:val="21"/>
        </w:rPr>
        <w:t>）</w:t>
      </w:r>
    </w:p>
    <w:p w14:paraId="021F921A">
      <w:pPr>
        <w:snapToGrid w:val="0"/>
        <w:spacing w:line="380" w:lineRule="exact"/>
        <w:ind w:firstLine="1827"/>
        <w:rPr>
          <w:rFonts w:ascii="微软雅黑" w:hAnsi="微软雅黑" w:eastAsia="微软雅黑" w:cs="微软雅黑"/>
          <w:szCs w:val="21"/>
        </w:rPr>
      </w:pPr>
    </w:p>
    <w:p w14:paraId="7F6F787E">
      <w:pPr>
        <w:snapToGrid w:val="0"/>
        <w:spacing w:line="380" w:lineRule="exact"/>
        <w:ind w:firstLine="1827"/>
        <w:jc w:val="center"/>
        <w:rPr>
          <w:rFonts w:ascii="微软雅黑" w:hAnsi="微软雅黑" w:eastAsia="微软雅黑" w:cs="微软雅黑"/>
          <w:szCs w:val="21"/>
        </w:rPr>
      </w:pPr>
    </w:p>
    <w:p w14:paraId="329475DE">
      <w:pPr>
        <w:snapToGrid w:val="0"/>
        <w:spacing w:line="380" w:lineRule="exact"/>
        <w:jc w:val="center"/>
        <w:rPr>
          <w:rFonts w:ascii="微软雅黑" w:hAnsi="微软雅黑" w:eastAsia="微软雅黑" w:cs="微软雅黑"/>
          <w:szCs w:val="21"/>
          <w:u w:val="single"/>
        </w:rPr>
      </w:pPr>
      <w:r>
        <w:rPr>
          <w:rFonts w:hint="eastAsia" w:ascii="微软雅黑" w:hAnsi="微软雅黑" w:eastAsia="微软雅黑" w:cs="微软雅黑"/>
          <w:szCs w:val="21"/>
        </w:rPr>
        <w:t>投 标 人（盖章）：</w:t>
      </w:r>
    </w:p>
    <w:p w14:paraId="052E5212">
      <w:pPr>
        <w:snapToGrid w:val="0"/>
        <w:spacing w:line="380" w:lineRule="exact"/>
        <w:ind w:firstLine="1827"/>
        <w:jc w:val="center"/>
        <w:rPr>
          <w:rFonts w:ascii="微软雅黑" w:hAnsi="微软雅黑" w:eastAsia="微软雅黑" w:cs="微软雅黑"/>
          <w:szCs w:val="21"/>
        </w:rPr>
      </w:pPr>
    </w:p>
    <w:p w14:paraId="7AD64DB6">
      <w:pPr>
        <w:pStyle w:val="24"/>
        <w:spacing w:line="380" w:lineRule="exact"/>
        <w:rPr>
          <w:rFonts w:ascii="微软雅黑" w:hAnsi="微软雅黑" w:eastAsia="微软雅黑" w:cs="微软雅黑"/>
          <w:szCs w:val="21"/>
        </w:rPr>
      </w:pPr>
    </w:p>
    <w:p w14:paraId="2DC91CD8">
      <w:pPr>
        <w:snapToGrid w:val="0"/>
        <w:spacing w:line="380" w:lineRule="exact"/>
        <w:jc w:val="center"/>
        <w:rPr>
          <w:rFonts w:ascii="微软雅黑" w:hAnsi="微软雅黑" w:eastAsia="微软雅黑" w:cs="微软雅黑"/>
          <w:szCs w:val="21"/>
          <w:u w:val="single"/>
        </w:rPr>
      </w:pPr>
      <w:r>
        <w:rPr>
          <w:rFonts w:hint="eastAsia" w:ascii="微软雅黑" w:hAnsi="微软雅黑" w:eastAsia="微软雅黑" w:cs="微软雅黑"/>
          <w:szCs w:val="21"/>
        </w:rPr>
        <w:t>日    期：</w:t>
      </w:r>
    </w:p>
    <w:p w14:paraId="29D52994">
      <w:pPr>
        <w:snapToGrid w:val="0"/>
        <w:spacing w:line="380" w:lineRule="exact"/>
        <w:ind w:firstLine="1827"/>
        <w:jc w:val="center"/>
        <w:rPr>
          <w:rFonts w:ascii="微软雅黑" w:hAnsi="微软雅黑" w:eastAsia="微软雅黑" w:cs="微软雅黑"/>
          <w:b/>
          <w:szCs w:val="21"/>
        </w:rPr>
      </w:pPr>
    </w:p>
    <w:p w14:paraId="4AED4DB3">
      <w:pPr>
        <w:snapToGrid w:val="0"/>
        <w:spacing w:line="380" w:lineRule="exact"/>
        <w:ind w:firstLine="1827"/>
        <w:rPr>
          <w:rFonts w:ascii="微软雅黑" w:hAnsi="微软雅黑" w:eastAsia="微软雅黑" w:cs="微软雅黑"/>
          <w:b/>
          <w:szCs w:val="21"/>
        </w:rPr>
      </w:pPr>
    </w:p>
    <w:p w14:paraId="1BDD7480">
      <w:pPr>
        <w:pStyle w:val="26"/>
        <w:spacing w:line="380" w:lineRule="exact"/>
        <w:ind w:firstLine="420"/>
        <w:rPr>
          <w:rFonts w:ascii="微软雅黑" w:hAnsi="微软雅黑" w:eastAsia="微软雅黑" w:cs="微软雅黑"/>
          <w:b/>
          <w:szCs w:val="21"/>
        </w:rPr>
      </w:pPr>
    </w:p>
    <w:p w14:paraId="18E4923B">
      <w:pPr>
        <w:pStyle w:val="26"/>
        <w:spacing w:line="380" w:lineRule="exact"/>
        <w:ind w:firstLine="420"/>
        <w:rPr>
          <w:rFonts w:ascii="微软雅黑" w:hAnsi="微软雅黑" w:eastAsia="微软雅黑" w:cs="微软雅黑"/>
          <w:b/>
          <w:szCs w:val="21"/>
        </w:rPr>
      </w:pPr>
    </w:p>
    <w:p w14:paraId="3C4C87B1">
      <w:pPr>
        <w:pStyle w:val="26"/>
        <w:spacing w:line="380" w:lineRule="exact"/>
        <w:ind w:firstLine="420"/>
        <w:rPr>
          <w:rFonts w:ascii="微软雅黑" w:hAnsi="微软雅黑" w:eastAsia="微软雅黑" w:cs="微软雅黑"/>
          <w:b/>
          <w:szCs w:val="21"/>
        </w:rPr>
      </w:pPr>
    </w:p>
    <w:p w14:paraId="1D71FADC">
      <w:pPr>
        <w:pStyle w:val="26"/>
        <w:spacing w:line="380" w:lineRule="exact"/>
        <w:ind w:firstLine="420"/>
        <w:rPr>
          <w:rFonts w:ascii="微软雅黑" w:hAnsi="微软雅黑" w:eastAsia="微软雅黑" w:cs="微软雅黑"/>
          <w:b/>
          <w:szCs w:val="21"/>
        </w:rPr>
      </w:pPr>
    </w:p>
    <w:p w14:paraId="11B0B405">
      <w:pPr>
        <w:pStyle w:val="26"/>
        <w:spacing w:line="380" w:lineRule="exact"/>
        <w:ind w:firstLine="420"/>
        <w:rPr>
          <w:rFonts w:ascii="微软雅黑" w:hAnsi="微软雅黑" w:eastAsia="微软雅黑" w:cs="微软雅黑"/>
          <w:b/>
          <w:szCs w:val="21"/>
        </w:rPr>
      </w:pPr>
    </w:p>
    <w:p w14:paraId="1631862B">
      <w:pPr>
        <w:pStyle w:val="26"/>
        <w:spacing w:line="380" w:lineRule="exact"/>
        <w:ind w:firstLine="420"/>
        <w:rPr>
          <w:rFonts w:ascii="微软雅黑" w:hAnsi="微软雅黑" w:eastAsia="微软雅黑" w:cs="微软雅黑"/>
          <w:b/>
          <w:szCs w:val="21"/>
        </w:rPr>
      </w:pPr>
    </w:p>
    <w:p w14:paraId="610E7CFF">
      <w:pPr>
        <w:spacing w:line="380" w:lineRule="exact"/>
        <w:ind w:firstLine="1891" w:firstLineChars="900"/>
        <w:rPr>
          <w:rStyle w:val="27"/>
          <w:rFonts w:ascii="微软雅黑" w:hAnsi="微软雅黑" w:eastAsia="微软雅黑" w:cs="微软雅黑"/>
          <w:sz w:val="21"/>
          <w:szCs w:val="21"/>
        </w:rPr>
      </w:pPr>
      <w:bookmarkStart w:id="15" w:name="_Toc9147"/>
    </w:p>
    <w:p w14:paraId="62B43C9B">
      <w:pPr>
        <w:spacing w:line="380" w:lineRule="exact"/>
        <w:ind w:firstLine="1891" w:firstLineChars="900"/>
        <w:rPr>
          <w:rStyle w:val="27"/>
          <w:rFonts w:ascii="微软雅黑" w:hAnsi="微软雅黑" w:eastAsia="微软雅黑" w:cs="微软雅黑"/>
          <w:sz w:val="21"/>
          <w:szCs w:val="21"/>
        </w:rPr>
      </w:pPr>
    </w:p>
    <w:p w14:paraId="5BBBC929">
      <w:pPr>
        <w:spacing w:line="380" w:lineRule="exact"/>
        <w:ind w:firstLine="1891" w:firstLineChars="900"/>
        <w:rPr>
          <w:rStyle w:val="27"/>
          <w:rFonts w:ascii="微软雅黑" w:hAnsi="微软雅黑" w:eastAsia="微软雅黑" w:cs="微软雅黑"/>
          <w:sz w:val="21"/>
          <w:szCs w:val="21"/>
        </w:rPr>
      </w:pPr>
    </w:p>
    <w:p w14:paraId="5D822579">
      <w:pPr>
        <w:spacing w:line="380" w:lineRule="exact"/>
        <w:ind w:firstLine="1891" w:firstLineChars="900"/>
        <w:rPr>
          <w:rStyle w:val="27"/>
          <w:rFonts w:ascii="微软雅黑" w:hAnsi="微软雅黑" w:eastAsia="微软雅黑" w:cs="微软雅黑"/>
          <w:sz w:val="21"/>
          <w:szCs w:val="21"/>
        </w:rPr>
      </w:pPr>
    </w:p>
    <w:p w14:paraId="7A081427">
      <w:pPr>
        <w:spacing w:line="380" w:lineRule="exact"/>
        <w:ind w:firstLine="1891" w:firstLineChars="900"/>
        <w:rPr>
          <w:rStyle w:val="27"/>
          <w:rFonts w:ascii="微软雅黑" w:hAnsi="微软雅黑" w:eastAsia="微软雅黑" w:cs="微软雅黑"/>
          <w:sz w:val="21"/>
          <w:szCs w:val="21"/>
        </w:rPr>
      </w:pPr>
    </w:p>
    <w:p w14:paraId="690CD34E">
      <w:pPr>
        <w:spacing w:line="380" w:lineRule="exact"/>
        <w:ind w:firstLine="1891" w:firstLineChars="900"/>
        <w:rPr>
          <w:rStyle w:val="27"/>
          <w:rFonts w:ascii="微软雅黑" w:hAnsi="微软雅黑" w:eastAsia="微软雅黑" w:cs="微软雅黑"/>
          <w:sz w:val="21"/>
          <w:szCs w:val="21"/>
        </w:rPr>
      </w:pPr>
    </w:p>
    <w:p w14:paraId="151A97DE">
      <w:pPr>
        <w:spacing w:line="380" w:lineRule="exact"/>
        <w:ind w:firstLine="1891" w:firstLineChars="900"/>
        <w:rPr>
          <w:rStyle w:val="27"/>
          <w:rFonts w:ascii="微软雅黑" w:hAnsi="微软雅黑" w:eastAsia="微软雅黑" w:cs="微软雅黑"/>
          <w:sz w:val="21"/>
          <w:szCs w:val="21"/>
        </w:rPr>
      </w:pPr>
    </w:p>
    <w:p w14:paraId="0FE2BDD8">
      <w:pPr>
        <w:spacing w:line="380" w:lineRule="exact"/>
        <w:ind w:firstLine="1891" w:firstLineChars="900"/>
        <w:rPr>
          <w:rStyle w:val="27"/>
          <w:rFonts w:ascii="微软雅黑" w:hAnsi="微软雅黑" w:eastAsia="微软雅黑" w:cs="微软雅黑"/>
          <w:sz w:val="21"/>
          <w:szCs w:val="21"/>
        </w:rPr>
      </w:pPr>
    </w:p>
    <w:p w14:paraId="092A15B5">
      <w:pPr>
        <w:widowControl/>
        <w:jc w:val="left"/>
        <w:rPr>
          <w:rStyle w:val="27"/>
          <w:rFonts w:ascii="微软雅黑" w:hAnsi="微软雅黑" w:eastAsia="微软雅黑" w:cs="微软雅黑"/>
          <w:sz w:val="21"/>
          <w:szCs w:val="21"/>
        </w:rPr>
      </w:pPr>
      <w:r>
        <w:rPr>
          <w:rStyle w:val="27"/>
          <w:rFonts w:hint="eastAsia" w:ascii="微软雅黑" w:hAnsi="微软雅黑" w:eastAsia="微软雅黑" w:cs="微软雅黑"/>
          <w:sz w:val="21"/>
          <w:szCs w:val="21"/>
        </w:rPr>
        <w:br w:type="page"/>
      </w:r>
    </w:p>
    <w:p w14:paraId="71165893">
      <w:pPr>
        <w:spacing w:line="380" w:lineRule="exact"/>
        <w:ind w:firstLine="1891" w:firstLineChars="900"/>
        <w:rPr>
          <w:rStyle w:val="27"/>
          <w:rFonts w:ascii="微软雅黑" w:hAnsi="微软雅黑" w:eastAsia="微软雅黑" w:cs="微软雅黑"/>
          <w:sz w:val="21"/>
          <w:szCs w:val="21"/>
        </w:rPr>
      </w:pPr>
    </w:p>
    <w:p w14:paraId="2FBB1DF4">
      <w:pPr>
        <w:spacing w:line="380" w:lineRule="exact"/>
        <w:ind w:firstLine="3152" w:firstLineChars="1500"/>
        <w:rPr>
          <w:rStyle w:val="27"/>
          <w:rFonts w:ascii="微软雅黑" w:hAnsi="微软雅黑" w:eastAsia="微软雅黑" w:cs="微软雅黑"/>
          <w:sz w:val="21"/>
          <w:szCs w:val="21"/>
        </w:rPr>
      </w:pPr>
      <w:r>
        <w:rPr>
          <w:rStyle w:val="27"/>
          <w:rFonts w:hint="eastAsia" w:ascii="微软雅黑" w:hAnsi="微软雅黑" w:eastAsia="微软雅黑" w:cs="微软雅黑"/>
          <w:sz w:val="21"/>
          <w:szCs w:val="21"/>
        </w:rPr>
        <w:t>投标文件目录</w:t>
      </w:r>
    </w:p>
    <w:p w14:paraId="61C6367F">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一、投标函</w:t>
      </w:r>
    </w:p>
    <w:p w14:paraId="79CA8349">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二、谈判响应报价表</w:t>
      </w:r>
    </w:p>
    <w:p w14:paraId="30437B1F">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三、法定代表人身份证明书</w:t>
      </w:r>
    </w:p>
    <w:p w14:paraId="5447738E">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四、法定代表人授权委托书</w:t>
      </w:r>
    </w:p>
    <w:p w14:paraId="0F1D4D2D">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五、资格审查资料</w:t>
      </w:r>
    </w:p>
    <w:p w14:paraId="5E2B3633">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六、技术和服务要求响应偏离表</w:t>
      </w:r>
    </w:p>
    <w:p w14:paraId="47DA8EEA">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七、商务响应偏离表</w:t>
      </w:r>
    </w:p>
    <w:p w14:paraId="72F7A95B">
      <w:pPr>
        <w:pStyle w:val="2"/>
        <w:spacing w:before="120" w:after="120" w:line="380" w:lineRule="exact"/>
        <w:ind w:left="0" w:firstLine="0"/>
        <w:rPr>
          <w:rFonts w:hint="default" w:ascii="微软雅黑" w:hAnsi="微软雅黑" w:eastAsia="微软雅黑" w:cs="微软雅黑"/>
          <w:sz w:val="21"/>
          <w:szCs w:val="21"/>
        </w:rPr>
        <w:sectPr>
          <w:pgSz w:w="11906" w:h="16838"/>
          <w:pgMar w:top="1100" w:right="1800" w:bottom="1157" w:left="1800" w:header="851" w:footer="992" w:gutter="0"/>
          <w:cols w:space="425" w:num="1"/>
          <w:docGrid w:type="lines" w:linePitch="312" w:charSpace="0"/>
        </w:sectPr>
      </w:pPr>
    </w:p>
    <w:p w14:paraId="7BE1DF15">
      <w:pPr>
        <w:pStyle w:val="2"/>
        <w:numPr>
          <w:ilvl w:val="0"/>
          <w:numId w:val="0"/>
        </w:numPr>
        <w:spacing w:before="120" w:after="120" w:line="380" w:lineRule="exact"/>
        <w:ind w:firstLine="3152" w:firstLineChars="1500"/>
        <w:rPr>
          <w:rFonts w:hint="default" w:ascii="微软雅黑" w:hAnsi="微软雅黑" w:eastAsia="微软雅黑" w:cs="微软雅黑"/>
          <w:sz w:val="21"/>
          <w:szCs w:val="21"/>
        </w:rPr>
      </w:pPr>
      <w:r>
        <w:rPr>
          <w:rFonts w:ascii="微软雅黑" w:hAnsi="微软雅黑" w:eastAsia="微软雅黑" w:cs="微软雅黑"/>
          <w:sz w:val="21"/>
          <w:szCs w:val="21"/>
        </w:rPr>
        <w:t>一、投 标 函</w:t>
      </w:r>
      <w:bookmarkEnd w:id="15"/>
    </w:p>
    <w:p w14:paraId="3B944655">
      <w:pPr>
        <w:spacing w:line="380" w:lineRule="exact"/>
        <w:rPr>
          <w:rFonts w:ascii="微软雅黑" w:hAnsi="微软雅黑" w:eastAsia="微软雅黑" w:cs="微软雅黑"/>
          <w:szCs w:val="21"/>
        </w:rPr>
      </w:pPr>
      <w:r>
        <w:rPr>
          <w:rFonts w:hint="eastAsia" w:ascii="微软雅黑" w:hAnsi="微软雅黑" w:eastAsia="微软雅黑" w:cs="微软雅黑"/>
          <w:szCs w:val="21"/>
          <w:u w:val="single"/>
        </w:rPr>
        <w:t>丹阳市人民医院:</w:t>
      </w:r>
      <w:r>
        <w:rPr>
          <w:rFonts w:hint="eastAsia" w:ascii="微软雅黑" w:hAnsi="微软雅黑" w:eastAsia="微软雅黑" w:cs="微软雅黑"/>
          <w:szCs w:val="21"/>
        </w:rPr>
        <w:t xml:space="preserve"> </w:t>
      </w:r>
    </w:p>
    <w:p w14:paraId="70F08AC6">
      <w:pPr>
        <w:spacing w:line="380" w:lineRule="exact"/>
        <w:rPr>
          <w:rFonts w:ascii="微软雅黑" w:hAnsi="微软雅黑" w:eastAsia="微软雅黑" w:cs="微软雅黑"/>
          <w:szCs w:val="21"/>
        </w:rPr>
      </w:pPr>
      <w:r>
        <w:rPr>
          <w:rFonts w:hint="eastAsia" w:ascii="微软雅黑" w:hAnsi="微软雅黑" w:eastAsia="微软雅黑" w:cs="微软雅黑"/>
          <w:szCs w:val="21"/>
        </w:rPr>
        <w:t>1．我方己仔细研究了</w:t>
      </w:r>
      <w:r>
        <w:rPr>
          <w:rFonts w:hint="eastAsia" w:ascii="微软雅黑" w:hAnsi="微软雅黑" w:eastAsia="微软雅黑" w:cs="微软雅黑"/>
          <w:szCs w:val="21"/>
          <w:u w:val="single"/>
        </w:rPr>
        <mc:AlternateContent>
          <mc:Choice Requires="wps">
            <w:drawing>
              <wp:inline distT="0" distB="0" distL="114300" distR="114300">
                <wp:extent cx="635" cy="0"/>
                <wp:effectExtent l="0" t="0" r="0" b="0"/>
                <wp:docPr id="117" name="矩形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FCF9CC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YlTASz&#10;AQAAdgMAAA4AAAAAAAAAAQAgAAAAHgEAAGRycy9lMm9Eb2MueG1sUEsFBgAAAAAGAAYAWQEAAEMF&#10;AAAAAA==&#10;">
                <v:fill on="f" focussize="0,0"/>
                <v:stroke on="f"/>
                <v:imagedata o:title=""/>
                <o:lock v:ext="edit" aspectratio="t"/>
                <v:textbox>
                  <w:txbxContent>
                    <w:p w14:paraId="7FCF9CC0"/>
                  </w:txbxContent>
                </v:textbox>
                <w10:wrap type="none"/>
                <w10:anchorlock/>
              </v:rect>
            </w:pict>
          </mc:Fallback>
        </mc:AlternateContent>
      </w:r>
      <w:r>
        <w:rPr>
          <w:rFonts w:hint="eastAsia" w:ascii="微软雅黑" w:hAnsi="微软雅黑" w:eastAsia="微软雅黑" w:cs="微软雅黑"/>
          <w:szCs w:val="21"/>
          <w:u w:val="single"/>
        </w:rPr>
        <w:t>丹阳市人民医院终端安全和准入控制系统采购项目</w:t>
      </w:r>
      <w:r>
        <w:rPr>
          <w:rFonts w:hint="eastAsia" w:ascii="微软雅黑" w:hAnsi="微软雅黑" w:eastAsia="微软雅黑" w:cs="微软雅黑"/>
          <w:szCs w:val="21"/>
        </w:rPr>
        <w:t>招标文件的全部内容，愿意以人民币（大写）</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元）的投标总报价，并将按招标文件的规定履行合同责任和义务，实现工程目的。</w:t>
      </w:r>
    </w:p>
    <w:p w14:paraId="1FB4C85D">
      <w:pPr>
        <w:spacing w:line="380" w:lineRule="exact"/>
        <w:rPr>
          <w:rFonts w:ascii="微软雅黑" w:hAnsi="微软雅黑" w:eastAsia="微软雅黑" w:cs="微软雅黑"/>
          <w:szCs w:val="21"/>
        </w:rPr>
      </w:pPr>
      <w:r>
        <w:rPr>
          <w:rFonts w:hint="eastAsia" w:ascii="微软雅黑" w:hAnsi="微软雅黑" w:eastAsia="微软雅黑" w:cs="微软雅黑"/>
          <w:szCs w:val="21"/>
        </w:rPr>
        <w:t>2．我方承诺在招标文件规定的投标有效期内不修改、撤销投标文件。</w:t>
      </w:r>
    </w:p>
    <w:p w14:paraId="210ABEF2">
      <w:pPr>
        <w:spacing w:line="380" w:lineRule="exact"/>
        <w:rPr>
          <w:rFonts w:ascii="微软雅黑" w:hAnsi="微软雅黑" w:eastAsia="微软雅黑" w:cs="微软雅黑"/>
          <w:szCs w:val="21"/>
        </w:rPr>
      </w:pPr>
      <w:r>
        <w:rPr>
          <w:rFonts w:hint="eastAsia" w:ascii="微软雅黑" w:hAnsi="微软雅黑" w:eastAsia="微软雅黑" w:cs="微软雅黑"/>
          <w:szCs w:val="21"/>
        </w:rPr>
        <w:t>3．如果我方中标，将派出</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F66241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OqzFLIBAAB2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OqzFLIB&#10;AAB2AwAADgAAAAAAAAABACAAAAAeAQAAZHJzL2Uyb0RvYy54bWxQSwUGAAAAAAYABgBZAQAAQgUA&#10;AAAA&#10;">
                <v:fill on="f" focussize="0,0"/>
                <v:stroke on="f"/>
                <v:imagedata o:title=""/>
                <o:lock v:ext="edit" aspectratio="t"/>
                <v:textbox>
                  <w:txbxContent>
                    <w:p w14:paraId="4F662416"/>
                  </w:txbxContent>
                </v:textbox>
                <w10:wrap type="none"/>
                <w10:anchorlock/>
              </v:rect>
            </w:pict>
          </mc:Fallback>
        </mc:AlternateConten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（姓名）作为本工程的项目负责人。</w:t>
      </w:r>
    </w:p>
    <w:p w14:paraId="0D6F90F5">
      <w:pPr>
        <w:spacing w:line="380" w:lineRule="exact"/>
        <w:rPr>
          <w:rFonts w:ascii="微软雅黑" w:hAnsi="微软雅黑" w:eastAsia="微软雅黑" w:cs="微软雅黑"/>
          <w:szCs w:val="21"/>
        </w:rPr>
      </w:pPr>
      <w:r>
        <w:rPr>
          <w:rFonts w:hint="eastAsia" w:ascii="微软雅黑" w:hAnsi="微软雅黑" w:eastAsia="微软雅黑" w:cs="微软雅黑"/>
          <w:szCs w:val="21"/>
        </w:rPr>
        <w:t>4．如我方中标：</w:t>
      </w:r>
    </w:p>
    <w:p w14:paraId="0B7C2AA5">
      <w:pPr>
        <w:spacing w:line="380" w:lineRule="exact"/>
        <w:rPr>
          <w:rFonts w:ascii="微软雅黑" w:hAnsi="微软雅黑" w:eastAsia="微软雅黑" w:cs="微软雅黑"/>
          <w:szCs w:val="21"/>
        </w:rPr>
      </w:pPr>
      <w:r>
        <w:rPr>
          <w:rFonts w:hint="eastAsia" w:ascii="微软雅黑" w:hAnsi="微软雅黑" w:eastAsia="微软雅黑" w:cs="微软雅黑"/>
          <w:szCs w:val="21"/>
        </w:rPr>
        <w:t>（1）我方承诺在收到中标通知后，在规定的期限内与你方签订合同。</w:t>
      </w:r>
    </w:p>
    <w:p w14:paraId="50EAF0CA">
      <w:pPr>
        <w:spacing w:line="380" w:lineRule="exact"/>
        <w:rPr>
          <w:rFonts w:ascii="微软雅黑" w:hAnsi="微软雅黑" w:eastAsia="微软雅黑" w:cs="微软雅黑"/>
          <w:szCs w:val="21"/>
        </w:rPr>
      </w:pPr>
      <w:r>
        <w:rPr>
          <w:rFonts w:hint="eastAsia" w:ascii="微软雅黑" w:hAnsi="微软雅黑" w:eastAsia="微软雅黑" w:cs="微软雅黑"/>
          <w:szCs w:val="21"/>
        </w:rPr>
        <w:t>（2）我方将严格履行本投标文件中的全部承诺和责任，并遵守招标文件中对投标人的所有规定。</w:t>
      </w:r>
    </w:p>
    <w:p w14:paraId="717FFCB7">
      <w:pPr>
        <w:spacing w:line="380" w:lineRule="exact"/>
        <w:rPr>
          <w:rFonts w:ascii="微软雅黑" w:hAnsi="微软雅黑" w:eastAsia="微软雅黑" w:cs="微软雅黑"/>
          <w:szCs w:val="21"/>
        </w:rPr>
      </w:pPr>
      <w:r>
        <w:rPr>
          <w:rFonts w:hint="eastAsia" w:ascii="微软雅黑" w:hAnsi="微软雅黑" w:eastAsia="微软雅黑" w:cs="微软雅黑"/>
          <w:szCs w:val="21"/>
        </w:rPr>
        <w:t>5.</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AE2BE9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n+ATOz&#10;AQAAdgMAAA4AAAAAAAAAAQAgAAAAHgEAAGRycy9lMm9Eb2MueG1sUEsFBgAAAAAGAAYAWQEAAEMF&#10;AAAAAA==&#10;">
                <v:fill on="f" focussize="0,0"/>
                <v:stroke on="f"/>
                <v:imagedata o:title=""/>
                <o:lock v:ext="edit" aspectratio="t"/>
                <v:textbox>
                  <w:txbxContent>
                    <w:p w14:paraId="6AE2BE9C"/>
                  </w:txbxContent>
                </v:textbox>
                <w10:wrap type="none"/>
                <w10:anchorlock/>
              </v:rect>
            </w:pict>
          </mc:Fallback>
        </mc:AlternateContent>
      </w:r>
      <w:r>
        <w:rPr>
          <w:rFonts w:hint="eastAsia" w:ascii="微软雅黑" w:hAnsi="微软雅黑" w:eastAsia="微软雅黑" w:cs="微软雅黑"/>
          <w:szCs w:val="21"/>
        </w:rPr>
        <w:t>（其他补充说明）。</w:t>
      </w:r>
    </w:p>
    <w:p w14:paraId="6E818208">
      <w:pPr>
        <w:spacing w:line="380" w:lineRule="exact"/>
        <w:rPr>
          <w:rFonts w:ascii="微软雅黑" w:hAnsi="微软雅黑" w:eastAsia="微软雅黑" w:cs="微软雅黑"/>
          <w:szCs w:val="21"/>
        </w:rPr>
      </w:pPr>
      <w:r>
        <w:rPr>
          <w:rFonts w:hint="eastAsia" w:ascii="微软雅黑" w:hAnsi="微软雅黑" w:eastAsia="微软雅黑" w:cs="微软雅黑"/>
          <w:szCs w:val="21"/>
        </w:rPr>
        <w:t> </w:t>
      </w:r>
    </w:p>
    <w:p w14:paraId="77B7CA35">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                         投标人(公章)：               </w:t>
      </w:r>
    </w:p>
    <w:p w14:paraId="4E406B61">
      <w:pPr>
        <w:spacing w:line="380" w:lineRule="exact"/>
        <w:ind w:firstLine="2520" w:firstLineChars="1200"/>
        <w:rPr>
          <w:rFonts w:ascii="微软雅黑" w:hAnsi="微软雅黑" w:eastAsia="微软雅黑" w:cs="微软雅黑"/>
          <w:szCs w:val="21"/>
        </w:rPr>
      </w:pPr>
      <w:r>
        <w:rPr>
          <w:rFonts w:hint="eastAsia" w:ascii="微软雅黑" w:hAnsi="微软雅黑" w:eastAsia="微软雅黑" w:cs="微软雅黑"/>
          <w:szCs w:val="21"/>
        </w:rPr>
        <w:t xml:space="preserve">法人代表或授权委托人（签字或印章）：          </w:t>
      </w:r>
    </w:p>
    <w:p w14:paraId="5F674CBC">
      <w:pPr>
        <w:spacing w:line="380" w:lineRule="exact"/>
        <w:ind w:firstLine="2520" w:firstLineChars="1200"/>
        <w:rPr>
          <w:rFonts w:ascii="微软雅黑" w:hAnsi="微软雅黑" w:eastAsia="微软雅黑" w:cs="微软雅黑"/>
          <w:szCs w:val="21"/>
        </w:rPr>
      </w:pPr>
      <w:r>
        <w:rPr>
          <w:rFonts w:hint="eastAsia" w:ascii="微软雅黑" w:hAnsi="微软雅黑" w:eastAsia="微软雅黑" w:cs="微软雅黑"/>
          <w:szCs w:val="21"/>
        </w:rPr>
        <w:t xml:space="preserve">日期：               </w:t>
      </w:r>
    </w:p>
    <w:p w14:paraId="5163B273">
      <w:pPr>
        <w:snapToGrid w:val="0"/>
        <w:spacing w:line="380" w:lineRule="exact"/>
        <w:ind w:left="5680" w:hanging="5074"/>
        <w:rPr>
          <w:rFonts w:ascii="微软雅黑" w:hAnsi="微软雅黑" w:eastAsia="微软雅黑" w:cs="微软雅黑"/>
          <w:szCs w:val="21"/>
        </w:rPr>
      </w:pPr>
    </w:p>
    <w:p w14:paraId="075ACE42">
      <w:pPr>
        <w:snapToGrid w:val="0"/>
        <w:spacing w:line="380" w:lineRule="exact"/>
        <w:jc w:val="center"/>
        <w:rPr>
          <w:rFonts w:ascii="微软雅黑" w:hAnsi="微软雅黑" w:eastAsia="微软雅黑" w:cs="微软雅黑"/>
          <w:szCs w:val="21"/>
        </w:rPr>
      </w:pPr>
      <w:r>
        <w:rPr>
          <w:rFonts w:hint="eastAsia" w:ascii="微软雅黑" w:hAnsi="微软雅黑" w:eastAsia="微软雅黑" w:cs="微软雅黑"/>
          <w:szCs w:val="21"/>
        </w:rPr>
        <w:br w:type="page"/>
      </w:r>
      <w:bookmarkStart w:id="16" w:name="_Toc26543"/>
    </w:p>
    <w:p w14:paraId="22749519">
      <w:pPr>
        <w:tabs>
          <w:tab w:val="left" w:pos="686"/>
        </w:tabs>
        <w:spacing w:line="380" w:lineRule="exact"/>
        <w:rPr>
          <w:rFonts w:ascii="微软雅黑" w:hAnsi="微软雅黑" w:eastAsia="微软雅黑" w:cs="微软雅黑"/>
          <w:szCs w:val="21"/>
        </w:rPr>
      </w:pPr>
      <w:r>
        <w:rPr>
          <w:rFonts w:hint="eastAsia" w:ascii="微软雅黑" w:hAnsi="微软雅黑" w:eastAsia="微软雅黑" w:cs="微软雅黑"/>
          <w:b/>
          <w:szCs w:val="21"/>
        </w:rPr>
        <w:t xml:space="preserve">                  </w:t>
      </w:r>
    </w:p>
    <w:p w14:paraId="4CE4FF97">
      <w:pPr>
        <w:snapToGrid w:val="0"/>
        <w:spacing w:line="38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二、</w:t>
      </w:r>
      <w:r>
        <w:rPr>
          <w:rFonts w:hint="eastAsia" w:ascii="微软雅黑" w:hAnsi="微软雅黑" w:eastAsia="微软雅黑" w:cs="微软雅黑"/>
          <w:szCs w:val="21"/>
        </w:rPr>
        <w:t xml:space="preserve"> </w:t>
      </w:r>
      <w:r>
        <w:rPr>
          <w:rFonts w:hint="eastAsia" w:ascii="微软雅黑" w:hAnsi="微软雅黑" w:eastAsia="微软雅黑" w:cs="微软雅黑"/>
          <w:b/>
          <w:bCs/>
          <w:szCs w:val="21"/>
        </w:rPr>
        <w:t>谈判响应报价表</w:t>
      </w:r>
      <w:bookmarkEnd w:id="16"/>
    </w:p>
    <w:tbl>
      <w:tblPr>
        <w:tblStyle w:val="18"/>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7A40250D">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1E7C9A8">
            <w:pPr>
              <w:pStyle w:val="28"/>
              <w:spacing w:line="380" w:lineRule="exact"/>
              <w:rPr>
                <w:rFonts w:ascii="微软雅黑" w:hAnsi="微软雅黑" w:eastAsia="微软雅黑" w:cs="微软雅黑"/>
                <w:sz w:val="21"/>
                <w:szCs w:val="21"/>
              </w:rPr>
            </w:pPr>
            <w:r>
              <w:rPr>
                <w:rFonts w:hint="eastAsia" w:ascii="微软雅黑" w:hAnsi="微软雅黑" w:eastAsia="微软雅黑" w:cs="微软雅黑"/>
                <w:color w:val="000000"/>
                <w:sz w:val="21"/>
                <w:szCs w:val="21"/>
                <w:lang w:eastAsia="zh-CN"/>
              </w:rPr>
              <w:t>采购</w:t>
            </w:r>
            <w:r>
              <w:rPr>
                <w:rFonts w:hint="eastAsia" w:ascii="微软雅黑" w:hAnsi="微软雅黑" w:eastAsia="微软雅黑" w:cs="微软雅黑"/>
                <w:color w:val="000000"/>
                <w:sz w:val="21"/>
                <w:szCs w:val="21"/>
                <w:lang w:val="en-US" w:eastAsia="zh-CN"/>
              </w:rPr>
              <w:t>单位</w:t>
            </w:r>
            <w:r>
              <w:rPr>
                <w:rFonts w:hint="eastAsia" w:ascii="微软雅黑" w:hAnsi="微软雅黑" w:eastAsia="微软雅黑" w:cs="微软雅黑"/>
                <w:color w:val="000000"/>
                <w:sz w:val="21"/>
                <w:szCs w:val="21"/>
              </w:rPr>
              <w:t>：丹阳市人民医院</w:t>
            </w:r>
          </w:p>
        </w:tc>
      </w:tr>
      <w:tr w14:paraId="1382BAB2">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CA820F7">
            <w:pPr>
              <w:pStyle w:val="28"/>
              <w:spacing w:line="380" w:lineRule="exact"/>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项目名称：</w:t>
            </w:r>
            <w:r>
              <w:rPr>
                <w:rFonts w:hint="eastAsia" w:ascii="微软雅黑" w:hAnsi="微软雅黑" w:eastAsia="微软雅黑" w:cs="微软雅黑"/>
                <w:sz w:val="21"/>
                <w:szCs w:val="21"/>
                <w:u w:val="single"/>
              </w:rPr>
              <w:t>丹阳市人民医院</w:t>
            </w:r>
            <w:r>
              <w:rPr>
                <w:rFonts w:hint="eastAsia" w:ascii="微软雅黑" w:hAnsi="微软雅黑" w:eastAsia="微软雅黑" w:cs="微软雅黑"/>
                <w:sz w:val="21"/>
                <w:szCs w:val="21"/>
                <w:u w:val="single"/>
                <w:lang w:val="en-US" w:eastAsia="zh-CN"/>
              </w:rPr>
              <w:t>终端安全和准入控制系统</w:t>
            </w:r>
            <w:r>
              <w:rPr>
                <w:rFonts w:hint="eastAsia" w:ascii="微软雅黑" w:hAnsi="微软雅黑" w:eastAsia="微软雅黑" w:cs="微软雅黑"/>
                <w:sz w:val="21"/>
                <w:szCs w:val="21"/>
                <w:u w:val="single"/>
              </w:rPr>
              <w:t>采购项目</w:t>
            </w:r>
          </w:p>
        </w:tc>
      </w:tr>
      <w:tr w14:paraId="31E85637">
        <w:tblPrEx>
          <w:tblCellMar>
            <w:top w:w="0" w:type="dxa"/>
            <w:left w:w="10" w:type="dxa"/>
            <w:bottom w:w="0" w:type="dxa"/>
            <w:right w:w="10" w:type="dxa"/>
          </w:tblCellMar>
        </w:tblPrEx>
        <w:trPr>
          <w:trHeight w:val="56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1DDC93D">
            <w:pPr>
              <w:pStyle w:val="28"/>
              <w:spacing w:line="380" w:lineRule="exact"/>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投标单位（盖章）</w:t>
            </w:r>
          </w:p>
        </w:tc>
      </w:tr>
      <w:tr w14:paraId="7F103139">
        <w:tblPrEx>
          <w:tblCellMar>
            <w:top w:w="0" w:type="dxa"/>
            <w:left w:w="10" w:type="dxa"/>
            <w:bottom w:w="0" w:type="dxa"/>
            <w:right w:w="10" w:type="dxa"/>
          </w:tblCellMar>
        </w:tblPrEx>
        <w:trPr>
          <w:trHeight w:val="1095"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1EB14E68">
            <w:pPr>
              <w:pStyle w:val="28"/>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sz w:val="21"/>
                <w:szCs w:val="21"/>
              </w:rPr>
              <w:t>法定代表人或授权委托人</w:t>
            </w:r>
            <w:r>
              <w:rPr>
                <w:rFonts w:hint="eastAsia" w:ascii="微软雅黑" w:hAnsi="微软雅黑" w:eastAsia="微软雅黑" w:cs="微软雅黑"/>
                <w:sz w:val="21"/>
                <w:szCs w:val="21"/>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11450840">
            <w:pPr>
              <w:pStyle w:val="28"/>
              <w:spacing w:line="380" w:lineRule="exact"/>
              <w:rPr>
                <w:rFonts w:ascii="微软雅黑" w:hAnsi="微软雅黑" w:eastAsia="微软雅黑" w:cs="微软雅黑"/>
                <w:color w:val="000000"/>
                <w:sz w:val="21"/>
                <w:szCs w:val="21"/>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6EF74582">
            <w:pPr>
              <w:pStyle w:val="28"/>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6C9AEC8F">
            <w:pPr>
              <w:pStyle w:val="28"/>
              <w:spacing w:line="380" w:lineRule="exact"/>
              <w:rPr>
                <w:rFonts w:ascii="微软雅黑" w:hAnsi="微软雅黑" w:eastAsia="微软雅黑" w:cs="微软雅黑"/>
                <w:color w:val="000000"/>
                <w:sz w:val="21"/>
                <w:szCs w:val="21"/>
                <w:lang w:val="en-US" w:eastAsia="zh-CN"/>
              </w:rPr>
            </w:pPr>
          </w:p>
        </w:tc>
      </w:tr>
      <w:tr w14:paraId="1B9B3FFA">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4D8C211C">
            <w:pPr>
              <w:pStyle w:val="28"/>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kern w:val="0"/>
                <w:sz w:val="21"/>
                <w:szCs w:val="21"/>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D821AF1">
            <w:pPr>
              <w:spacing w:line="380" w:lineRule="exact"/>
              <w:rPr>
                <w:rFonts w:ascii="微软雅黑" w:hAnsi="微软雅黑" w:eastAsia="微软雅黑" w:cs="微软雅黑"/>
                <w:szCs w:val="21"/>
              </w:rPr>
            </w:pPr>
            <w:r>
              <w:rPr>
                <w:rFonts w:hint="eastAsia" w:ascii="微软雅黑" w:hAnsi="微软雅黑" w:eastAsia="微软雅黑" w:cs="微软雅黑"/>
                <w:color w:val="000000"/>
                <w:szCs w:val="21"/>
              </w:rPr>
              <w:t>（大写）：</w:t>
            </w:r>
          </w:p>
        </w:tc>
      </w:tr>
      <w:tr w14:paraId="4B38AFEA">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3E4A710D">
            <w:pPr>
              <w:pStyle w:val="28"/>
              <w:spacing w:line="380" w:lineRule="exact"/>
              <w:jc w:val="center"/>
              <w:rPr>
                <w:rFonts w:ascii="微软雅黑" w:hAnsi="微软雅黑" w:eastAsia="微软雅黑" w:cs="微软雅黑"/>
                <w:color w:val="000000"/>
                <w:sz w:val="21"/>
                <w:szCs w:val="21"/>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98C611F">
            <w:pPr>
              <w:spacing w:line="3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（小写）：</w:t>
            </w:r>
          </w:p>
        </w:tc>
      </w:tr>
      <w:tr w14:paraId="798AE60B">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36805004">
            <w:pPr>
              <w:pStyle w:val="28"/>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F105FFF">
            <w:pPr>
              <w:spacing w:line="380" w:lineRule="exact"/>
              <w:rPr>
                <w:rFonts w:ascii="微软雅黑" w:hAnsi="微软雅黑" w:eastAsia="微软雅黑" w:cs="微软雅黑"/>
                <w:color w:val="000000"/>
                <w:szCs w:val="21"/>
              </w:rPr>
            </w:pPr>
          </w:p>
        </w:tc>
      </w:tr>
    </w:tbl>
    <w:p w14:paraId="032713D4">
      <w:pPr>
        <w:pStyle w:val="9"/>
        <w:spacing w:line="380" w:lineRule="exact"/>
        <w:rPr>
          <w:rFonts w:ascii="微软雅黑" w:hAnsi="微软雅黑" w:eastAsia="微软雅黑" w:cs="微软雅黑"/>
          <w:sz w:val="21"/>
          <w:szCs w:val="21"/>
        </w:rPr>
      </w:pPr>
      <w:r>
        <w:rPr>
          <w:rFonts w:hint="eastAsia" w:ascii="微软雅黑" w:hAnsi="微软雅黑" w:eastAsia="微软雅黑" w:cs="微软雅黑"/>
          <w:sz w:val="21"/>
          <w:szCs w:val="21"/>
        </w:rPr>
        <w:t>1）投标供应商必须据实填写此表，项目总报价不得超过预算。</w:t>
      </w:r>
    </w:p>
    <w:p w14:paraId="1C0FED99">
      <w:pPr>
        <w:pStyle w:val="9"/>
        <w:spacing w:line="380" w:lineRule="exact"/>
        <w:rPr>
          <w:rFonts w:ascii="微软雅黑" w:hAnsi="微软雅黑" w:eastAsia="微软雅黑" w:cs="微软雅黑"/>
          <w:szCs w:val="21"/>
        </w:rPr>
      </w:pPr>
      <w:r>
        <w:rPr>
          <w:rFonts w:hint="eastAsia" w:ascii="微软雅黑" w:hAnsi="微软雅黑" w:eastAsia="微软雅黑" w:cs="微软雅黑"/>
          <w:color w:val="000000"/>
          <w:kern w:val="0"/>
          <w:sz w:val="21"/>
          <w:szCs w:val="21"/>
          <w:lang w:bidi="ar"/>
        </w:rPr>
        <w:t>2）项目总报价</w:t>
      </w:r>
      <w:r>
        <w:rPr>
          <w:rFonts w:hint="eastAsia" w:ascii="微软雅黑" w:hAnsi="微软雅黑" w:eastAsia="微软雅黑" w:cs="微软雅黑"/>
          <w:sz w:val="21"/>
          <w:szCs w:val="21"/>
        </w:rPr>
        <w:t>应包含磋商文件所确定的采购范围内的全部内容，含税。</w:t>
      </w:r>
    </w:p>
    <w:p w14:paraId="578B5D56">
      <w:pPr>
        <w:pStyle w:val="24"/>
        <w:spacing w:line="380" w:lineRule="exact"/>
        <w:ind w:left="0" w:firstLine="0"/>
        <w:rPr>
          <w:rFonts w:ascii="微软雅黑" w:hAnsi="微软雅黑" w:eastAsia="微软雅黑" w:cs="微软雅黑"/>
          <w:szCs w:val="21"/>
        </w:rPr>
      </w:pPr>
      <w:r>
        <w:rPr>
          <w:rFonts w:hint="eastAsia" w:ascii="微软雅黑" w:hAnsi="微软雅黑" w:eastAsia="微软雅黑" w:cs="微软雅黑"/>
          <w:color w:val="000000"/>
          <w:kern w:val="0"/>
          <w:szCs w:val="21"/>
        </w:rPr>
        <w:t>3）采用人民币报价，以元为单位标注。</w:t>
      </w:r>
    </w:p>
    <w:p w14:paraId="4A4903F7">
      <w:pPr>
        <w:pStyle w:val="9"/>
        <w:spacing w:line="380" w:lineRule="exact"/>
        <w:rPr>
          <w:rFonts w:ascii="微软雅黑" w:hAnsi="微软雅黑" w:eastAsia="微软雅黑" w:cs="微软雅黑"/>
          <w:sz w:val="21"/>
          <w:szCs w:val="21"/>
        </w:rPr>
      </w:pPr>
      <w:r>
        <w:rPr>
          <w:rFonts w:hint="eastAsia" w:ascii="微软雅黑" w:hAnsi="微软雅黑" w:eastAsia="微软雅黑" w:cs="微软雅黑"/>
          <w:color w:val="000000"/>
          <w:kern w:val="0"/>
          <w:sz w:val="21"/>
          <w:szCs w:val="21"/>
          <w:lang w:bidi="ar"/>
        </w:rPr>
        <w:t>4）报价保留至小数点后两位，四舍五入。</w:t>
      </w:r>
    </w:p>
    <w:p w14:paraId="776D3689">
      <w:pPr>
        <w:widowControl/>
        <w:spacing w:line="380" w:lineRule="exact"/>
        <w:jc w:val="left"/>
        <w:rPr>
          <w:rFonts w:ascii="微软雅黑" w:hAnsi="微软雅黑" w:eastAsia="微软雅黑" w:cs="微软雅黑"/>
          <w:b/>
          <w:bCs/>
          <w:color w:val="000000"/>
          <w:kern w:val="0"/>
          <w:szCs w:val="21"/>
        </w:rPr>
      </w:pPr>
      <w:bookmarkStart w:id="17" w:name="_Toc26951"/>
      <w:r>
        <w:rPr>
          <w:rFonts w:hint="eastAsia" w:ascii="微软雅黑" w:hAnsi="微软雅黑" w:eastAsia="微软雅黑" w:cs="微软雅黑"/>
          <w:b/>
          <w:bCs/>
          <w:color w:val="000000"/>
          <w:szCs w:val="21"/>
        </w:rPr>
        <w:br w:type="page"/>
      </w:r>
    </w:p>
    <w:p w14:paraId="642EE24A">
      <w:pPr>
        <w:pStyle w:val="16"/>
        <w:spacing w:before="120" w:beforeAutospacing="0" w:after="120" w:afterAutospacing="0" w:line="380" w:lineRule="exact"/>
        <w:jc w:val="both"/>
        <w:outlineLvl w:val="0"/>
        <w:rPr>
          <w:rFonts w:ascii="微软雅黑" w:hAnsi="微软雅黑" w:eastAsia="微软雅黑" w:cs="微软雅黑"/>
          <w:b/>
          <w:bCs/>
          <w:color w:val="000000"/>
          <w:sz w:val="21"/>
          <w:szCs w:val="21"/>
        </w:rPr>
      </w:pPr>
    </w:p>
    <w:p w14:paraId="3AA1CA8C">
      <w:pPr>
        <w:pStyle w:val="16"/>
        <w:spacing w:before="120" w:beforeAutospacing="0" w:after="120" w:afterAutospacing="0" w:line="380" w:lineRule="exact"/>
        <w:ind w:firstLine="2311" w:firstLineChars="1100"/>
        <w:jc w:val="both"/>
        <w:outlineLvl w:val="0"/>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三、法定代表人身份证明</w:t>
      </w:r>
      <w:bookmarkEnd w:id="17"/>
      <w:r>
        <w:rPr>
          <w:rFonts w:hint="eastAsia" w:ascii="微软雅黑" w:hAnsi="微软雅黑" w:eastAsia="微软雅黑" w:cs="微软雅黑"/>
          <w:b/>
          <w:bCs/>
          <w:color w:val="000000"/>
          <w:sz w:val="21"/>
          <w:szCs w:val="21"/>
        </w:rPr>
        <w:t>书</w:t>
      </w:r>
    </w:p>
    <w:p w14:paraId="7DBCC70A">
      <w:pPr>
        <w:pStyle w:val="16"/>
        <w:spacing w:line="380" w:lineRule="exact"/>
        <w:ind w:firstLine="567"/>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投 标 人：</w:t>
      </w:r>
      <w:r>
        <w:rPr>
          <w:rFonts w:hint="eastAsia" w:ascii="微软雅黑" w:hAnsi="微软雅黑" w:eastAsia="微软雅黑" w:cs="微软雅黑"/>
          <w:color w:val="000000"/>
          <w:sz w:val="21"/>
          <w:szCs w:val="21"/>
          <w:u w:val="single"/>
        </w:rPr>
        <w:t xml:space="preserve">                                      </w:t>
      </w:r>
    </w:p>
    <w:p w14:paraId="59576A8B">
      <w:pPr>
        <w:pStyle w:val="16"/>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单位性质：</w:t>
      </w:r>
      <w:r>
        <w:rPr>
          <w:rFonts w:hint="eastAsia" w:ascii="微软雅黑" w:hAnsi="微软雅黑" w:eastAsia="微软雅黑" w:cs="微软雅黑"/>
          <w:color w:val="000000"/>
          <w:sz w:val="21"/>
          <w:szCs w:val="21"/>
          <w:u w:val="single"/>
        </w:rPr>
        <w:t xml:space="preserve">                                      </w:t>
      </w:r>
    </w:p>
    <w:p w14:paraId="5A88471E">
      <w:pPr>
        <w:pStyle w:val="16"/>
        <w:spacing w:line="380" w:lineRule="exact"/>
        <w:ind w:firstLine="567"/>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地     址：</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141D67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dGLOLMBAAB2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Jo3YXEp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H3Riziz&#10;AQAAdgMAAA4AAAAAAAAAAQAgAAAAHgEAAGRycy9lMm9Eb2MueG1sUEsFBgAAAAAGAAYAWQEAAEMF&#10;AAAAAA==&#10;">
                <v:fill on="f" focussize="0,0"/>
                <v:stroke on="f"/>
                <v:imagedata o:title=""/>
                <o:lock v:ext="edit" aspectratio="t"/>
                <v:textbox>
                  <w:txbxContent>
                    <w:p w14:paraId="4141D677"/>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549B8F3D">
      <w:pPr>
        <w:pStyle w:val="16"/>
        <w:spacing w:line="380" w:lineRule="exact"/>
        <w:ind w:firstLine="567"/>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成立时间：</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8AF172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r+VzrMBAAB2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TwinLI//z/efvXz9E8rA+&#10;g6eSw+78bUgMyd+gfiDh8FOnXAsfybPKnJ9ii7PgdKEpbWyCTelMWYxZ//1Jfxij0Oy8fPte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Nq/lc6z&#10;AQAAdgMAAA4AAAAAAAAAAQAgAAAAHgEAAGRycy9lMm9Eb2MueG1sUEsFBgAAAAAGAAYAWQEAAEMF&#10;AAAAAA==&#10;">
                <v:fill on="f" focussize="0,0"/>
                <v:stroke on="f"/>
                <v:imagedata o:title=""/>
                <o:lock v:ext="edit" aspectratio="t"/>
                <v:textbox>
                  <w:txbxContent>
                    <w:p w14:paraId="78AF172C"/>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6DB5CA86">
      <w:pPr>
        <w:pStyle w:val="16"/>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经营期限：</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80CC36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6sn6b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LyVwinLI//97cevn99F8rA+&#10;g6eSw578Y0gMyT+g/krC4YdOuRbek2eVOT/FFmfB6UJT2tgEm9KZshiz/vuT/jBGodl5c80t6KO/&#10;UOUxyQeK94BWJKOSgQtmtdXugWIqq8pjSKrh8M70fR5t784cHHjwQN6NKfu5z2TFcTNOtDdY71me&#10;rQ+m7c448jhy2Wl10rz/vmclnr/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6sn6bIB&#10;AAB2AwAADgAAAAAAAAABACAAAAAeAQAAZHJzL2Uyb0RvYy54bWxQSwUGAAAAAAYABgBZAQAAQgUA&#10;AAAA&#10;">
                <v:fill on="f" focussize="0,0"/>
                <v:stroke on="f"/>
                <v:imagedata o:title=""/>
                <o:lock v:ext="edit" aspectratio="t"/>
                <v:textbox>
                  <w:txbxContent>
                    <w:p w14:paraId="180CC365"/>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022A8FBA">
      <w:pPr>
        <w:pStyle w:val="16"/>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姓     名：</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性     别：</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A396AD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JbxgbMBAAB2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uZNWCylcMryyP98//n71w+RPKzP&#10;4KnksHt/FxJD8reoH0g4/Ngp18IH8qwy56fY4iI4XWhKG5tgUzpTFmPW/3DWH8YoNDuXb99JoU/+&#10;QpWnJB8ofgK0IhmVDFwwq632txRTWVWeQlINhzem7/Noe3fh4MCjB/JuTNmPfSYrjttxor3F+sDy&#10;7HwwbXfBkceRy06rk+b97z0r8fhd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BiW8YGz&#10;AQAAdgMAAA4AAAAAAAAAAQAgAAAAHgEAAGRycy9lMm9Eb2MueG1sUEsFBgAAAAAGAAYAWQEAAEMF&#10;AAAAAA==&#10;">
                <v:fill on="f" focussize="0,0"/>
                <v:stroke on="f"/>
                <v:imagedata o:title=""/>
                <o:lock v:ext="edit" aspectratio="t"/>
                <v:textbox>
                  <w:txbxContent>
                    <w:p w14:paraId="4A396ADD"/>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14221535">
      <w:pPr>
        <w:pStyle w:val="16"/>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龄：</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职     务：</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608597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JDprMBAAB2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mCQ6az&#10;AQAAdgMAAA4AAAAAAAAAAQAgAAAAHgEAAGRycy9lMm9Eb2MueG1sUEsFBgAAAAAGAAYAWQEAAEMF&#10;AAAAAA==&#10;">
                <v:fill on="f" focussize="0,0"/>
                <v:stroke on="f"/>
                <v:imagedata o:title=""/>
                <o:lock v:ext="edit" aspectratio="t"/>
                <v:textbox>
                  <w:txbxContent>
                    <w:p w14:paraId="1608597F"/>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59B17D56">
      <w:pPr>
        <w:pStyle w:val="16"/>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系</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(投标人名称)的法定代表人。</w:t>
      </w:r>
    </w:p>
    <w:p w14:paraId="6A4F05EA">
      <w:pPr>
        <w:pStyle w:val="16"/>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特此证明。</w:t>
      </w:r>
    </w:p>
    <w:p w14:paraId="7AEDFF79">
      <w:pPr>
        <w:pStyle w:val="16"/>
        <w:spacing w:line="380" w:lineRule="exact"/>
        <w:ind w:firstLine="567"/>
        <w:jc w:val="both"/>
        <w:rPr>
          <w:rFonts w:ascii="微软雅黑" w:hAnsi="微软雅黑" w:eastAsia="微软雅黑" w:cs="微软雅黑"/>
          <w:color w:val="000000"/>
          <w:sz w:val="21"/>
          <w:szCs w:val="21"/>
        </w:rPr>
      </w:pPr>
    </w:p>
    <w:p w14:paraId="12F7F047">
      <w:pPr>
        <w:pStyle w:val="16"/>
        <w:spacing w:line="380" w:lineRule="exact"/>
        <w:ind w:firstLine="567"/>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投标人：</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7958E2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028tr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F028trIB&#10;AAB2AwAADgAAAAAAAAABACAAAAAeAQAAZHJzL2Uyb0RvYy54bWxQSwUGAAAAAAYABgBZAQAAQgUA&#10;AAAA&#10;">
                <v:fill on="f" focussize="0,0"/>
                <v:stroke on="f"/>
                <v:imagedata o:title=""/>
                <o:lock v:ext="edit" aspectratio="t"/>
                <v:textbox>
                  <w:txbxContent>
                    <w:p w14:paraId="67958E24"/>
                  </w:txbxContent>
                </v:textbox>
                <w10:wrap type="none"/>
                <w10:anchorlock/>
              </v:rect>
            </w:pict>
          </mc:Fallback>
        </mc:AlternateContent>
      </w:r>
      <w:r>
        <w:rPr>
          <w:rFonts w:hint="eastAsia" w:ascii="微软雅黑" w:hAnsi="微软雅黑" w:eastAsia="微软雅黑" w:cs="微软雅黑"/>
          <w:color w:val="000000"/>
          <w:sz w:val="21"/>
          <w:szCs w:val="21"/>
        </w:rPr>
        <w:t>(盖公章)</w:t>
      </w:r>
      <w:r>
        <w:rPr>
          <w:rFonts w:hint="eastAsia" w:ascii="微软雅黑" w:hAnsi="微软雅黑" w:eastAsia="微软雅黑" w:cs="微软雅黑"/>
          <w:color w:val="000000"/>
          <w:sz w:val="21"/>
          <w:szCs w:val="21"/>
          <w:u w:val="single"/>
        </w:rPr>
        <w:t xml:space="preserve">                      </w:t>
      </w:r>
    </w:p>
    <w:p w14:paraId="21D8CCFC">
      <w:pPr>
        <w:pStyle w:val="16"/>
        <w:spacing w:line="380" w:lineRule="exact"/>
        <w:ind w:firstLine="567"/>
        <w:jc w:val="center"/>
        <w:rPr>
          <w:rFonts w:ascii="微软雅黑" w:hAnsi="微软雅黑" w:eastAsia="微软雅黑" w:cs="微软雅黑"/>
          <w:color w:val="000000"/>
          <w:sz w:val="21"/>
          <w:szCs w:val="21"/>
        </w:rPr>
      </w:pPr>
    </w:p>
    <w:p w14:paraId="33BA376E">
      <w:pPr>
        <w:pStyle w:val="16"/>
        <w:spacing w:line="380" w:lineRule="exact"/>
        <w:ind w:firstLine="567"/>
        <w:jc w:val="center"/>
        <w:rPr>
          <w:rFonts w:ascii="微软雅黑" w:hAnsi="微软雅黑" w:eastAsia="微软雅黑" w:cs="微软雅黑"/>
          <w:sz w:val="21"/>
          <w:szCs w:val="21"/>
        </w:rPr>
      </w:pPr>
      <w:r>
        <w:rPr>
          <w:rFonts w:hint="eastAsia" w:ascii="微软雅黑" w:hAnsi="微软雅黑" w:eastAsia="微软雅黑" w:cs="微软雅黑"/>
          <w:color w:val="000000"/>
          <w:sz w:val="21"/>
          <w:szCs w:val="21"/>
        </w:rPr>
        <w:t>日期：</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8FA2C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lkOkbMBAAB2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ZZDpGz&#10;AQAAdgMAAA4AAAAAAAAAAQAgAAAAHgEAAGRycy9lMm9Eb2MueG1sUEsFBgAAAAAGAAYAWQEAAEMF&#10;AAAAAA==&#10;">
                <v:fill on="f" focussize="0,0"/>
                <v:stroke on="f"/>
                <v:imagedata o:title=""/>
                <o:lock v:ext="edit" aspectratio="t"/>
                <v:textbox>
                  <w:txbxContent>
                    <w:p w14:paraId="108FA2C0"/>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bookmarkStart w:id="18" w:name="_Toc10458"/>
    </w:p>
    <w:p w14:paraId="7D92A6A1">
      <w:pPr>
        <w:pStyle w:val="2"/>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345A75E1">
      <w:pPr>
        <w:pStyle w:val="2"/>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019D35E5">
      <w:pPr>
        <w:pStyle w:val="2"/>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250D3A93">
      <w:pPr>
        <w:pStyle w:val="2"/>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31A56078">
      <w:pPr>
        <w:pStyle w:val="2"/>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5CE2B57F">
      <w:pPr>
        <w:pStyle w:val="2"/>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093F8199">
      <w:pPr>
        <w:pStyle w:val="2"/>
        <w:numPr>
          <w:ilvl w:val="0"/>
          <w:numId w:val="0"/>
        </w:numPr>
        <w:spacing w:before="240" w:after="60" w:line="380" w:lineRule="exact"/>
        <w:ind w:firstLine="1051" w:firstLineChars="500"/>
        <w:jc w:val="center"/>
        <w:rPr>
          <w:rFonts w:hint="default" w:ascii="微软雅黑" w:hAnsi="微软雅黑" w:eastAsia="微软雅黑" w:cs="微软雅黑"/>
          <w:sz w:val="21"/>
          <w:szCs w:val="21"/>
        </w:rPr>
      </w:pPr>
    </w:p>
    <w:p w14:paraId="62F3A676">
      <w:pPr>
        <w:pStyle w:val="2"/>
        <w:numPr>
          <w:ilvl w:val="0"/>
          <w:numId w:val="0"/>
        </w:numPr>
        <w:spacing w:before="240" w:after="60" w:line="380" w:lineRule="exact"/>
        <w:ind w:firstLine="1051" w:firstLineChars="500"/>
        <w:jc w:val="center"/>
        <w:rPr>
          <w:rFonts w:hint="default" w:ascii="微软雅黑" w:hAnsi="微软雅黑" w:eastAsia="微软雅黑" w:cs="微软雅黑"/>
          <w:sz w:val="21"/>
          <w:szCs w:val="21"/>
        </w:rPr>
      </w:pPr>
      <w:r>
        <w:rPr>
          <w:rFonts w:ascii="微软雅黑" w:hAnsi="微软雅黑" w:eastAsia="微软雅黑" w:cs="微软雅黑"/>
          <w:sz w:val="21"/>
          <w:szCs w:val="21"/>
        </w:rPr>
        <w:t>四、法定代表人授权委托书</w:t>
      </w:r>
      <w:bookmarkEnd w:id="18"/>
    </w:p>
    <w:p w14:paraId="4BE0D1EA">
      <w:pPr>
        <w:spacing w:line="38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本人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C04F2E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Ix3h7IBAAB2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M2bcMmaOGV55P9+/v7755dIHtZn&#10;8FRy2IO/D4kh+TvUP0g4vOmUa+ETeVaZ81NscRKcLjSljU2wKZ0pizHrvzvqD2MUmp1Xlx+k0Ad/&#10;ocpDkg8UPwNakYxKBi6Y1VbbO4qprCoPIamGw1vT93m0vTtxcODeA3k3puzHPpMVx/U40V5jvWN5&#10;Nj6YtjvhyOPIZafVSfN+es9KPH6X5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pIx3h7IB&#10;AAB2AwAADgAAAAAAAAABACAAAAAeAQAAZHJzL2Uyb0RvYy54bWxQSwUGAAAAAAYABgBZAQAAQgUA&#10;AAAA&#10;">
                <v:fill on="f" focussize="0,0"/>
                <v:stroke on="f"/>
                <v:imagedata o:title=""/>
                <o:lock v:ext="edit" aspectratio="t"/>
                <v:textbox>
                  <w:txbxContent>
                    <w:p w14:paraId="2C04F2ED"/>
                  </w:txbxContent>
                </v:textbox>
                <w10:wrap type="none"/>
                <w10:anchorlock/>
              </v:rect>
            </w:pict>
          </mc:Fallback>
        </mc:AlternateConten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（投标人名称）的法定代表人，现委托</w:t>
      </w:r>
      <w:r>
        <w:rPr>
          <w:rFonts w:hint="eastAsia" w:ascii="微软雅黑" w:hAnsi="微软雅黑" w:eastAsia="微软雅黑" w:cs="微软雅黑"/>
          <w:color w:val="000000"/>
          <w:szCs w:val="21"/>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22C7FA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ZjFoLMBAAB2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Jo34XIh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EWYxaCz&#10;AQAAdgMAAA4AAAAAAAAAAQAgAAAAHgEAAGRycy9lMm9Eb2MueG1sUEsFBgAAAAAGAAYAWQEAAEMF&#10;AAAAAA==&#10;">
                <v:fill on="f" focussize="0,0"/>
                <v:stroke on="f"/>
                <v:imagedata o:title=""/>
                <o:lock v:ext="edit" aspectratio="t"/>
                <v:textbox>
                  <w:txbxContent>
                    <w:p w14:paraId="622C7FA0"/>
                  </w:txbxContent>
                </v:textbox>
                <w10:wrap type="none"/>
                <w10:anchorlock/>
              </v:rect>
            </w:pict>
          </mc:Fallback>
        </mc:AlternateContent>
      </w:r>
      <w:r>
        <w:rPr>
          <w:rFonts w:hint="eastAsia" w:ascii="微软雅黑" w:hAnsi="微软雅黑" w:eastAsia="微软雅黑" w:cs="微软雅黑"/>
          <w:color w:val="000000"/>
          <w:szCs w:val="21"/>
        </w:rPr>
        <w:t>（姓名）为我方代理人。代理人根据授权，以我方名义签署、澄清、说明、补正、递交、撤回、修改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szCs w:val="21"/>
          <w:u w:val="single"/>
        </w:rPr>
        <w:t xml:space="preserve"> 丹阳市人民医院终端安全和准入控制系统采购项目</w:t>
      </w:r>
      <w:r>
        <w:rPr>
          <w:rFonts w:hint="eastAsia" w:ascii="微软雅黑" w:hAnsi="微软雅黑" w:eastAsia="微软雅黑" w:cs="微软雅黑"/>
          <w:color w:val="000000"/>
          <w:szCs w:val="21"/>
        </w:rPr>
        <w:t>投标文件、签订合同和处理有关事宜，其法律后果由我方承担。</w:t>
      </w:r>
    </w:p>
    <w:p w14:paraId="7BF89FF2">
      <w:pPr>
        <w:pStyle w:val="16"/>
        <w:spacing w:line="380" w:lineRule="exact"/>
        <w:ind w:firstLine="420" w:firstLineChars="200"/>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委托期限：</w:t>
      </w:r>
    </w:p>
    <w:p w14:paraId="7B118C79">
      <w:pPr>
        <w:pStyle w:val="16"/>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代理人无转委托权。</w:t>
      </w:r>
    </w:p>
    <w:p w14:paraId="6EA297AE">
      <w:pPr>
        <w:pStyle w:val="16"/>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附：法定代表人身份证明</w:t>
      </w:r>
    </w:p>
    <w:p w14:paraId="21F58FB7">
      <w:pPr>
        <w:pStyle w:val="16"/>
        <w:spacing w:line="380" w:lineRule="exact"/>
        <w:ind w:firstLine="2940" w:firstLineChars="1400"/>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投    标   人：</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45DC95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7Gh77MBAAB2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WrehMVCCqcsj/zP95+/f/0QycP6&#10;DJ5KDnvw9yExJH+H+pGEw4+dci3ckGeVOT/FFmfB6UJT2tgEm9KZshiz/vuT/jBGodl5tXg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Iexoe+z&#10;AQAAdgMAAA4AAAAAAAAAAQAgAAAAHgEAAGRycy9lMm9Eb2MueG1sUEsFBgAAAAAGAAYAWQEAAEMF&#10;AAAAAA==&#10;">
                <v:fill on="f" focussize="0,0"/>
                <v:stroke on="f"/>
                <v:imagedata o:title=""/>
                <o:lock v:ext="edit" aspectratio="t"/>
                <v:textbox>
                  <w:txbxContent>
                    <w:p w14:paraId="245DC952"/>
                  </w:txbxContent>
                </v:textbox>
                <w10:wrap type="none"/>
                <w10:anchorlock/>
              </v:rect>
            </w:pict>
          </mc:Fallback>
        </mc:AlternateContent>
      </w:r>
      <w:r>
        <w:rPr>
          <w:rFonts w:hint="eastAsia" w:ascii="微软雅黑" w:hAnsi="微软雅黑" w:eastAsia="微软雅黑" w:cs="微软雅黑"/>
          <w:color w:val="000000"/>
          <w:sz w:val="21"/>
          <w:szCs w:val="21"/>
        </w:rPr>
        <w:t>（盖单位章）</w:t>
      </w:r>
      <w:r>
        <w:rPr>
          <w:rFonts w:hint="eastAsia" w:ascii="微软雅黑" w:hAnsi="微软雅黑" w:eastAsia="微软雅黑" w:cs="微软雅黑"/>
          <w:color w:val="000000"/>
          <w:sz w:val="21"/>
          <w:szCs w:val="21"/>
          <w:u w:val="single"/>
        </w:rPr>
        <w:t xml:space="preserve">         </w:t>
      </w:r>
    </w:p>
    <w:p w14:paraId="38E1E7AA">
      <w:pPr>
        <w:pStyle w:val="16"/>
        <w:spacing w:line="380" w:lineRule="exact"/>
        <w:ind w:firstLine="2940" w:firstLineChars="14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法定代表人：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（签字）</w:t>
      </w:r>
    </w:p>
    <w:p w14:paraId="2A722588">
      <w:pPr>
        <w:pStyle w:val="16"/>
        <w:spacing w:line="380" w:lineRule="exact"/>
        <w:ind w:firstLine="2940" w:firstLineChars="14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身份证号码：</w:t>
      </w:r>
      <w:r>
        <w:rPr>
          <w:rFonts w:hint="eastAsia" w:ascii="微软雅黑" w:hAnsi="微软雅黑" w:eastAsia="微软雅黑" w:cs="微软雅黑"/>
          <w:color w:val="000000"/>
          <w:sz w:val="21"/>
          <w:szCs w:val="21"/>
          <w:u w:val="single"/>
        </w:rPr>
        <w:t xml:space="preserve">                        </w:t>
      </w:r>
    </w:p>
    <w:p w14:paraId="5D8F07DE">
      <w:pPr>
        <w:pStyle w:val="16"/>
        <w:spacing w:line="38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委托代理人：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（签字）</w:t>
      </w:r>
    </w:p>
    <w:p w14:paraId="37920BFC">
      <w:pPr>
        <w:pStyle w:val="16"/>
        <w:spacing w:line="380" w:lineRule="exact"/>
        <w:ind w:firstLine="2940" w:firstLineChars="14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身份证号码：</w:t>
      </w:r>
      <w:r>
        <w:rPr>
          <w:rFonts w:hint="eastAsia" w:ascii="微软雅黑" w:hAnsi="微软雅黑" w:eastAsia="微软雅黑" w:cs="微软雅黑"/>
          <w:color w:val="000000"/>
          <w:sz w:val="21"/>
          <w:szCs w:val="21"/>
          <w:u w:val="single"/>
        </w:rPr>
        <w:t xml:space="preserve">                        </w:t>
      </w:r>
    </w:p>
    <w:p w14:paraId="3B0F8836">
      <w:pPr>
        <w:pStyle w:val="16"/>
        <w:spacing w:line="380" w:lineRule="exact"/>
        <w:ind w:firstLine="2940" w:firstLineChars="1400"/>
        <w:rPr>
          <w:rFonts w:ascii="微软雅黑" w:hAnsi="微软雅黑" w:eastAsia="微软雅黑" w:cs="微软雅黑"/>
          <w:sz w:val="21"/>
          <w:szCs w:val="21"/>
        </w:rPr>
      </w:pPr>
      <w:r>
        <w:rPr>
          <w:rFonts w:hint="eastAsia" w:ascii="微软雅黑" w:hAnsi="微软雅黑" w:eastAsia="微软雅黑" w:cs="微软雅黑"/>
          <w:color w:val="000000"/>
          <w:sz w:val="21"/>
          <w:szCs w:val="21"/>
        </w:rPr>
        <w:t>日      期：</w:t>
      </w:r>
      <w:r>
        <w:rPr>
          <w:rFonts w:hint="eastAsia" w:ascii="微软雅黑" w:hAnsi="微软雅黑" w:eastAsia="微软雅黑" w:cs="微软雅黑"/>
          <w:color w:val="000000"/>
          <w:sz w:val="21"/>
          <w:szCs w:val="21"/>
          <w:u w:val="single"/>
        </w:rPr>
        <w:t xml:space="preserve">                        </w:t>
      </w:r>
      <w:bookmarkStart w:id="19" w:name="_Toc28085"/>
      <w:bookmarkStart w:id="20" w:name="_Toc18040"/>
    </w:p>
    <w:p w14:paraId="4CBCCC4E">
      <w:pPr>
        <w:spacing w:line="380" w:lineRule="exact"/>
        <w:rPr>
          <w:rFonts w:ascii="微软雅黑" w:hAnsi="微软雅黑" w:eastAsia="微软雅黑" w:cs="微软雅黑"/>
          <w:szCs w:val="21"/>
        </w:rPr>
      </w:pPr>
    </w:p>
    <w:p w14:paraId="02E516CF">
      <w:pPr>
        <w:pStyle w:val="2"/>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6F0CF3A4">
      <w:pPr>
        <w:pStyle w:val="2"/>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7C411AC8">
      <w:pPr>
        <w:pStyle w:val="2"/>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670F315E">
      <w:pPr>
        <w:pStyle w:val="2"/>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35CB881F">
      <w:pPr>
        <w:pStyle w:val="2"/>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6C4A2081">
      <w:pPr>
        <w:spacing w:line="380" w:lineRule="exact"/>
        <w:rPr>
          <w:rFonts w:ascii="微软雅黑" w:hAnsi="微软雅黑" w:eastAsia="微软雅黑" w:cs="微软雅黑"/>
          <w:szCs w:val="21"/>
        </w:rPr>
      </w:pPr>
    </w:p>
    <w:p w14:paraId="4E5DF7EE">
      <w:pPr>
        <w:pStyle w:val="2"/>
        <w:numPr>
          <w:ilvl w:val="0"/>
          <w:numId w:val="0"/>
        </w:numPr>
        <w:spacing w:before="240" w:after="60" w:line="380" w:lineRule="exact"/>
        <w:ind w:firstLine="2941" w:firstLineChars="1400"/>
        <w:rPr>
          <w:rFonts w:hint="default" w:ascii="微软雅黑" w:hAnsi="微软雅黑" w:eastAsia="微软雅黑" w:cs="微软雅黑"/>
          <w:sz w:val="21"/>
          <w:szCs w:val="21"/>
        </w:rPr>
      </w:pPr>
    </w:p>
    <w:p w14:paraId="71F288FE">
      <w:pPr>
        <w:pStyle w:val="2"/>
        <w:numPr>
          <w:ilvl w:val="0"/>
          <w:numId w:val="0"/>
        </w:numPr>
        <w:spacing w:before="240" w:after="60" w:line="380" w:lineRule="exact"/>
        <w:ind w:firstLine="2941" w:firstLineChars="1400"/>
        <w:rPr>
          <w:rFonts w:hint="default" w:ascii="微软雅黑" w:hAnsi="微软雅黑" w:eastAsia="微软雅黑" w:cs="微软雅黑"/>
          <w:sz w:val="21"/>
          <w:szCs w:val="21"/>
        </w:rPr>
      </w:pPr>
    </w:p>
    <w:p w14:paraId="055BB250">
      <w:pPr>
        <w:pStyle w:val="2"/>
        <w:numPr>
          <w:ilvl w:val="0"/>
          <w:numId w:val="0"/>
        </w:numPr>
        <w:spacing w:before="240" w:after="60" w:line="380" w:lineRule="exact"/>
        <w:ind w:firstLine="2941" w:firstLineChars="1400"/>
        <w:rPr>
          <w:rFonts w:hint="default" w:ascii="微软雅黑" w:hAnsi="微软雅黑" w:eastAsia="微软雅黑" w:cs="微软雅黑"/>
          <w:sz w:val="21"/>
          <w:szCs w:val="21"/>
        </w:rPr>
      </w:pPr>
      <w:r>
        <w:rPr>
          <w:rFonts w:ascii="微软雅黑" w:hAnsi="微软雅黑" w:eastAsia="微软雅黑" w:cs="微软雅黑"/>
          <w:sz w:val="21"/>
          <w:szCs w:val="21"/>
        </w:rPr>
        <w:t>五、资格审查资料</w:t>
      </w:r>
    </w:p>
    <w:p w14:paraId="3DB29498">
      <w:pPr>
        <w:pStyle w:val="9"/>
        <w:numPr>
          <w:ilvl w:val="0"/>
          <w:numId w:val="10"/>
        </w:numPr>
        <w:spacing w:line="380" w:lineRule="exact"/>
        <w:ind w:left="-300" w:firstLine="0"/>
        <w:jc w:val="center"/>
        <w:outlineLvl w:val="2"/>
        <w:rPr>
          <w:rFonts w:ascii="微软雅黑" w:hAnsi="微软雅黑" w:eastAsia="微软雅黑" w:cs="微软雅黑"/>
          <w:sz w:val="21"/>
          <w:szCs w:val="21"/>
        </w:rPr>
      </w:pPr>
      <w:r>
        <w:rPr>
          <w:rFonts w:hint="eastAsia" w:ascii="微软雅黑" w:hAnsi="微软雅黑" w:eastAsia="微软雅黑" w:cs="微软雅黑"/>
          <w:b/>
          <w:bCs/>
          <w:sz w:val="21"/>
          <w:szCs w:val="21"/>
        </w:rPr>
        <w:t>投标供应商基本情况表</w:t>
      </w:r>
      <w:bookmarkEnd w:id="19"/>
    </w:p>
    <w:tbl>
      <w:tblPr>
        <w:tblStyle w:val="18"/>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11D1D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6D2851E">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投标供应商</w:t>
            </w:r>
          </w:p>
          <w:p w14:paraId="34FB5ABF">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名称</w:t>
            </w:r>
          </w:p>
        </w:tc>
        <w:tc>
          <w:tcPr>
            <w:tcW w:w="7846" w:type="dxa"/>
            <w:gridSpan w:val="6"/>
            <w:tcBorders>
              <w:tl2br w:val="nil"/>
              <w:tr2bl w:val="nil"/>
            </w:tcBorders>
            <w:noWrap/>
            <w:vAlign w:val="center"/>
          </w:tcPr>
          <w:p w14:paraId="6A7B1B34">
            <w:pPr>
              <w:spacing w:line="380" w:lineRule="exact"/>
              <w:jc w:val="center"/>
              <w:rPr>
                <w:rFonts w:ascii="微软雅黑" w:hAnsi="微软雅黑" w:eastAsia="微软雅黑" w:cs="微软雅黑"/>
                <w:szCs w:val="21"/>
              </w:rPr>
            </w:pPr>
          </w:p>
        </w:tc>
      </w:tr>
      <w:tr w14:paraId="1029C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5FC9338A">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注册地址</w:t>
            </w:r>
          </w:p>
        </w:tc>
        <w:tc>
          <w:tcPr>
            <w:tcW w:w="2183" w:type="dxa"/>
            <w:gridSpan w:val="2"/>
            <w:tcBorders>
              <w:tl2br w:val="nil"/>
              <w:tr2bl w:val="nil"/>
            </w:tcBorders>
            <w:noWrap/>
            <w:vAlign w:val="center"/>
          </w:tcPr>
          <w:p w14:paraId="32B34E9B">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60A2848F">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邮政编码</w:t>
            </w:r>
          </w:p>
        </w:tc>
        <w:tc>
          <w:tcPr>
            <w:tcW w:w="4313" w:type="dxa"/>
            <w:gridSpan w:val="3"/>
            <w:tcBorders>
              <w:tl2br w:val="nil"/>
              <w:tr2bl w:val="nil"/>
            </w:tcBorders>
            <w:noWrap/>
            <w:vAlign w:val="center"/>
          </w:tcPr>
          <w:p w14:paraId="55B9F1A9">
            <w:pPr>
              <w:spacing w:line="380" w:lineRule="exact"/>
              <w:jc w:val="center"/>
              <w:rPr>
                <w:rFonts w:ascii="微软雅黑" w:hAnsi="微软雅黑" w:eastAsia="微软雅黑" w:cs="微软雅黑"/>
                <w:szCs w:val="21"/>
              </w:rPr>
            </w:pPr>
          </w:p>
        </w:tc>
      </w:tr>
      <w:tr w14:paraId="24B63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169EBF6D">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联系方式</w:t>
            </w:r>
          </w:p>
        </w:tc>
        <w:tc>
          <w:tcPr>
            <w:tcW w:w="1000" w:type="dxa"/>
            <w:tcBorders>
              <w:tl2br w:val="nil"/>
              <w:tr2bl w:val="nil"/>
            </w:tcBorders>
            <w:noWrap/>
            <w:vAlign w:val="center"/>
          </w:tcPr>
          <w:p w14:paraId="598ACAFB">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联系人</w:t>
            </w:r>
          </w:p>
        </w:tc>
        <w:tc>
          <w:tcPr>
            <w:tcW w:w="1183" w:type="dxa"/>
            <w:tcBorders>
              <w:tl2br w:val="nil"/>
              <w:tr2bl w:val="nil"/>
            </w:tcBorders>
            <w:noWrap/>
            <w:vAlign w:val="center"/>
          </w:tcPr>
          <w:p w14:paraId="7DF9E968">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6C65A5E0">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电话</w:t>
            </w:r>
          </w:p>
        </w:tc>
        <w:tc>
          <w:tcPr>
            <w:tcW w:w="4313" w:type="dxa"/>
            <w:gridSpan w:val="3"/>
            <w:tcBorders>
              <w:tl2br w:val="nil"/>
              <w:tr2bl w:val="nil"/>
            </w:tcBorders>
            <w:noWrap/>
            <w:vAlign w:val="center"/>
          </w:tcPr>
          <w:p w14:paraId="7E03D257">
            <w:pPr>
              <w:spacing w:line="380" w:lineRule="exact"/>
              <w:jc w:val="center"/>
              <w:rPr>
                <w:rFonts w:ascii="微软雅黑" w:hAnsi="微软雅黑" w:eastAsia="微软雅黑" w:cs="微软雅黑"/>
                <w:szCs w:val="21"/>
              </w:rPr>
            </w:pPr>
          </w:p>
        </w:tc>
      </w:tr>
      <w:tr w14:paraId="499AA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70FDB13E">
            <w:pPr>
              <w:spacing w:line="380" w:lineRule="exact"/>
              <w:jc w:val="center"/>
              <w:rPr>
                <w:rFonts w:ascii="微软雅黑" w:hAnsi="微软雅黑" w:eastAsia="微软雅黑" w:cs="微软雅黑"/>
                <w:szCs w:val="21"/>
              </w:rPr>
            </w:pPr>
          </w:p>
        </w:tc>
        <w:tc>
          <w:tcPr>
            <w:tcW w:w="1000" w:type="dxa"/>
            <w:tcBorders>
              <w:tl2br w:val="nil"/>
              <w:tr2bl w:val="nil"/>
            </w:tcBorders>
            <w:noWrap/>
            <w:vAlign w:val="center"/>
          </w:tcPr>
          <w:p w14:paraId="6CF2CBB7">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传真</w:t>
            </w:r>
          </w:p>
        </w:tc>
        <w:tc>
          <w:tcPr>
            <w:tcW w:w="1183" w:type="dxa"/>
            <w:tcBorders>
              <w:tl2br w:val="nil"/>
              <w:tr2bl w:val="nil"/>
            </w:tcBorders>
            <w:noWrap/>
            <w:vAlign w:val="center"/>
          </w:tcPr>
          <w:p w14:paraId="0EB22C37">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435760F8">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网址</w:t>
            </w:r>
          </w:p>
        </w:tc>
        <w:tc>
          <w:tcPr>
            <w:tcW w:w="4313" w:type="dxa"/>
            <w:gridSpan w:val="3"/>
            <w:tcBorders>
              <w:tl2br w:val="nil"/>
              <w:tr2bl w:val="nil"/>
            </w:tcBorders>
            <w:noWrap/>
            <w:vAlign w:val="center"/>
          </w:tcPr>
          <w:p w14:paraId="55207F4E">
            <w:pPr>
              <w:spacing w:line="380" w:lineRule="exact"/>
              <w:jc w:val="center"/>
              <w:rPr>
                <w:rFonts w:ascii="微软雅黑" w:hAnsi="微软雅黑" w:eastAsia="微软雅黑" w:cs="微软雅黑"/>
                <w:szCs w:val="21"/>
              </w:rPr>
            </w:pPr>
          </w:p>
        </w:tc>
      </w:tr>
      <w:tr w14:paraId="34567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E089FD8">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组织结构</w:t>
            </w:r>
          </w:p>
        </w:tc>
        <w:tc>
          <w:tcPr>
            <w:tcW w:w="7846" w:type="dxa"/>
            <w:gridSpan w:val="6"/>
            <w:tcBorders>
              <w:tl2br w:val="nil"/>
              <w:tr2bl w:val="nil"/>
            </w:tcBorders>
            <w:noWrap/>
            <w:vAlign w:val="center"/>
          </w:tcPr>
          <w:p w14:paraId="76F0C0E7">
            <w:pPr>
              <w:spacing w:line="380" w:lineRule="exact"/>
              <w:jc w:val="center"/>
              <w:rPr>
                <w:rFonts w:ascii="微软雅黑" w:hAnsi="微软雅黑" w:eastAsia="微软雅黑" w:cs="微软雅黑"/>
                <w:szCs w:val="21"/>
              </w:rPr>
            </w:pPr>
          </w:p>
        </w:tc>
      </w:tr>
      <w:tr w14:paraId="7872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F090032">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法定代表人</w:t>
            </w:r>
          </w:p>
        </w:tc>
        <w:tc>
          <w:tcPr>
            <w:tcW w:w="1000" w:type="dxa"/>
            <w:tcBorders>
              <w:tl2br w:val="nil"/>
              <w:tr2bl w:val="nil"/>
            </w:tcBorders>
            <w:noWrap/>
            <w:vAlign w:val="center"/>
          </w:tcPr>
          <w:p w14:paraId="06CA2E56">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姓名</w:t>
            </w:r>
          </w:p>
        </w:tc>
        <w:tc>
          <w:tcPr>
            <w:tcW w:w="1183" w:type="dxa"/>
            <w:tcBorders>
              <w:tl2br w:val="nil"/>
              <w:tr2bl w:val="nil"/>
            </w:tcBorders>
            <w:noWrap/>
            <w:vAlign w:val="center"/>
          </w:tcPr>
          <w:p w14:paraId="22729B12">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4AF8F48F">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技术职称</w:t>
            </w:r>
          </w:p>
        </w:tc>
        <w:tc>
          <w:tcPr>
            <w:tcW w:w="1834" w:type="dxa"/>
            <w:tcBorders>
              <w:tl2br w:val="nil"/>
              <w:tr2bl w:val="nil"/>
            </w:tcBorders>
            <w:noWrap/>
            <w:vAlign w:val="center"/>
          </w:tcPr>
          <w:p w14:paraId="5A347B3B">
            <w:pPr>
              <w:spacing w:line="380" w:lineRule="exact"/>
              <w:jc w:val="center"/>
              <w:rPr>
                <w:rFonts w:ascii="微软雅黑" w:hAnsi="微软雅黑" w:eastAsia="微软雅黑" w:cs="微软雅黑"/>
                <w:szCs w:val="21"/>
              </w:rPr>
            </w:pPr>
          </w:p>
        </w:tc>
        <w:tc>
          <w:tcPr>
            <w:tcW w:w="800" w:type="dxa"/>
            <w:tcBorders>
              <w:tl2br w:val="nil"/>
              <w:tr2bl w:val="nil"/>
            </w:tcBorders>
            <w:noWrap/>
            <w:vAlign w:val="center"/>
          </w:tcPr>
          <w:p w14:paraId="30EDADD1">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电话</w:t>
            </w:r>
          </w:p>
        </w:tc>
        <w:tc>
          <w:tcPr>
            <w:tcW w:w="1679" w:type="dxa"/>
            <w:tcBorders>
              <w:tl2br w:val="nil"/>
              <w:tr2bl w:val="nil"/>
            </w:tcBorders>
            <w:noWrap/>
            <w:vAlign w:val="center"/>
          </w:tcPr>
          <w:p w14:paraId="76BA4520">
            <w:pPr>
              <w:spacing w:line="380" w:lineRule="exact"/>
              <w:rPr>
                <w:rFonts w:ascii="微软雅黑" w:hAnsi="微软雅黑" w:eastAsia="微软雅黑" w:cs="微软雅黑"/>
                <w:szCs w:val="21"/>
              </w:rPr>
            </w:pPr>
          </w:p>
        </w:tc>
      </w:tr>
      <w:tr w14:paraId="3BB2E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EC8D971">
            <w:pPr>
              <w:spacing w:line="380" w:lineRule="exact"/>
              <w:jc w:val="center"/>
              <w:rPr>
                <w:rFonts w:ascii="微软雅黑" w:hAnsi="微软雅黑" w:eastAsia="微软雅黑" w:cs="微软雅黑"/>
                <w:szCs w:val="21"/>
              </w:rPr>
            </w:pPr>
            <w:r>
              <w:rPr>
                <w:rFonts w:hint="eastAsia" w:ascii="微软雅黑" w:hAnsi="微软雅黑" w:eastAsia="微软雅黑" w:cs="微软雅黑"/>
                <w:szCs w:val="21"/>
              </w:rPr>
              <w:t>技术负责人</w:t>
            </w:r>
          </w:p>
        </w:tc>
        <w:tc>
          <w:tcPr>
            <w:tcW w:w="1000" w:type="dxa"/>
            <w:tcBorders>
              <w:tl2br w:val="nil"/>
              <w:tr2bl w:val="nil"/>
            </w:tcBorders>
            <w:noWrap/>
            <w:vAlign w:val="center"/>
          </w:tcPr>
          <w:p w14:paraId="5C3D4D6C">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姓名</w:t>
            </w:r>
          </w:p>
        </w:tc>
        <w:tc>
          <w:tcPr>
            <w:tcW w:w="1183" w:type="dxa"/>
            <w:tcBorders>
              <w:tl2br w:val="nil"/>
              <w:tr2bl w:val="nil"/>
            </w:tcBorders>
            <w:noWrap/>
            <w:vAlign w:val="center"/>
          </w:tcPr>
          <w:p w14:paraId="720F54E5">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22FA6FF3">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技术职称</w:t>
            </w:r>
          </w:p>
        </w:tc>
        <w:tc>
          <w:tcPr>
            <w:tcW w:w="1834" w:type="dxa"/>
            <w:tcBorders>
              <w:tl2br w:val="nil"/>
              <w:tr2bl w:val="nil"/>
            </w:tcBorders>
            <w:noWrap/>
            <w:vAlign w:val="center"/>
          </w:tcPr>
          <w:p w14:paraId="5FB54B7B">
            <w:pPr>
              <w:spacing w:line="380" w:lineRule="exact"/>
              <w:jc w:val="center"/>
              <w:rPr>
                <w:rFonts w:ascii="微软雅黑" w:hAnsi="微软雅黑" w:eastAsia="微软雅黑" w:cs="微软雅黑"/>
                <w:szCs w:val="21"/>
              </w:rPr>
            </w:pPr>
          </w:p>
        </w:tc>
        <w:tc>
          <w:tcPr>
            <w:tcW w:w="800" w:type="dxa"/>
            <w:tcBorders>
              <w:tl2br w:val="nil"/>
              <w:tr2bl w:val="nil"/>
            </w:tcBorders>
            <w:noWrap/>
            <w:vAlign w:val="center"/>
          </w:tcPr>
          <w:p w14:paraId="37836558">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电话</w:t>
            </w:r>
          </w:p>
        </w:tc>
        <w:tc>
          <w:tcPr>
            <w:tcW w:w="1679" w:type="dxa"/>
            <w:tcBorders>
              <w:tl2br w:val="nil"/>
              <w:tr2bl w:val="nil"/>
            </w:tcBorders>
            <w:noWrap/>
            <w:vAlign w:val="center"/>
          </w:tcPr>
          <w:p w14:paraId="366DAF53">
            <w:pPr>
              <w:spacing w:line="380" w:lineRule="exact"/>
              <w:rPr>
                <w:rFonts w:ascii="微软雅黑" w:hAnsi="微软雅黑" w:eastAsia="微软雅黑" w:cs="微软雅黑"/>
                <w:szCs w:val="21"/>
              </w:rPr>
            </w:pPr>
          </w:p>
        </w:tc>
      </w:tr>
      <w:tr w14:paraId="11F5F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FB7F2B0">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成立时间</w:t>
            </w:r>
          </w:p>
        </w:tc>
        <w:tc>
          <w:tcPr>
            <w:tcW w:w="2183" w:type="dxa"/>
            <w:gridSpan w:val="2"/>
            <w:tcBorders>
              <w:tl2br w:val="nil"/>
              <w:tr2bl w:val="nil"/>
            </w:tcBorders>
            <w:noWrap/>
            <w:vAlign w:val="center"/>
          </w:tcPr>
          <w:p w14:paraId="5A1C3D9C">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0FD40D80">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员工人数</w:t>
            </w:r>
          </w:p>
        </w:tc>
        <w:tc>
          <w:tcPr>
            <w:tcW w:w="4313" w:type="dxa"/>
            <w:gridSpan w:val="3"/>
            <w:tcBorders>
              <w:tl2br w:val="nil"/>
              <w:tr2bl w:val="nil"/>
            </w:tcBorders>
            <w:noWrap/>
            <w:vAlign w:val="center"/>
          </w:tcPr>
          <w:p w14:paraId="092D71C0">
            <w:pPr>
              <w:spacing w:line="380" w:lineRule="exact"/>
              <w:jc w:val="center"/>
              <w:rPr>
                <w:rFonts w:ascii="微软雅黑" w:hAnsi="微软雅黑" w:eastAsia="微软雅黑" w:cs="微软雅黑"/>
                <w:szCs w:val="21"/>
              </w:rPr>
            </w:pPr>
          </w:p>
        </w:tc>
      </w:tr>
      <w:tr w14:paraId="77D2B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152FEE4">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企业资质等级</w:t>
            </w:r>
          </w:p>
        </w:tc>
        <w:tc>
          <w:tcPr>
            <w:tcW w:w="2183" w:type="dxa"/>
            <w:gridSpan w:val="2"/>
            <w:tcBorders>
              <w:tl2br w:val="nil"/>
              <w:tr2bl w:val="nil"/>
            </w:tcBorders>
            <w:noWrap/>
            <w:vAlign w:val="center"/>
          </w:tcPr>
          <w:p w14:paraId="18429CD0">
            <w:pPr>
              <w:spacing w:line="380" w:lineRule="exact"/>
              <w:jc w:val="center"/>
              <w:rPr>
                <w:rFonts w:ascii="微软雅黑" w:hAnsi="微软雅黑" w:eastAsia="微软雅黑" w:cs="微软雅黑"/>
                <w:szCs w:val="21"/>
              </w:rPr>
            </w:pPr>
          </w:p>
        </w:tc>
        <w:tc>
          <w:tcPr>
            <w:tcW w:w="1350" w:type="dxa"/>
            <w:vMerge w:val="restart"/>
            <w:tcBorders>
              <w:tl2br w:val="nil"/>
              <w:tr2bl w:val="nil"/>
            </w:tcBorders>
            <w:noWrap/>
            <w:vAlign w:val="center"/>
          </w:tcPr>
          <w:p w14:paraId="6C2AB8DB">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其中</w:t>
            </w:r>
          </w:p>
        </w:tc>
        <w:tc>
          <w:tcPr>
            <w:tcW w:w="1834" w:type="dxa"/>
            <w:tcBorders>
              <w:tl2br w:val="nil"/>
              <w:tr2bl w:val="nil"/>
            </w:tcBorders>
            <w:noWrap/>
            <w:vAlign w:val="center"/>
          </w:tcPr>
          <w:p w14:paraId="545225F1">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项目经理</w:t>
            </w:r>
          </w:p>
        </w:tc>
        <w:tc>
          <w:tcPr>
            <w:tcW w:w="2479" w:type="dxa"/>
            <w:gridSpan w:val="2"/>
            <w:tcBorders>
              <w:tl2br w:val="nil"/>
              <w:tr2bl w:val="nil"/>
            </w:tcBorders>
            <w:noWrap/>
            <w:vAlign w:val="center"/>
          </w:tcPr>
          <w:p w14:paraId="0557A2D4">
            <w:pPr>
              <w:spacing w:line="380" w:lineRule="exact"/>
              <w:jc w:val="center"/>
              <w:rPr>
                <w:rFonts w:ascii="微软雅黑" w:hAnsi="微软雅黑" w:eastAsia="微软雅黑" w:cs="微软雅黑"/>
                <w:szCs w:val="21"/>
              </w:rPr>
            </w:pPr>
          </w:p>
        </w:tc>
      </w:tr>
      <w:tr w14:paraId="011AA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362467C">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营业执照号</w:t>
            </w:r>
          </w:p>
        </w:tc>
        <w:tc>
          <w:tcPr>
            <w:tcW w:w="2183" w:type="dxa"/>
            <w:gridSpan w:val="2"/>
            <w:tcBorders>
              <w:tl2br w:val="nil"/>
              <w:tr2bl w:val="nil"/>
            </w:tcBorders>
            <w:noWrap/>
            <w:vAlign w:val="center"/>
          </w:tcPr>
          <w:p w14:paraId="7AB71E95">
            <w:pPr>
              <w:spacing w:line="380" w:lineRule="exact"/>
              <w:jc w:val="center"/>
              <w:rPr>
                <w:rFonts w:ascii="微软雅黑" w:hAnsi="微软雅黑" w:eastAsia="微软雅黑" w:cs="微软雅黑"/>
                <w:szCs w:val="21"/>
              </w:rPr>
            </w:pPr>
          </w:p>
        </w:tc>
        <w:tc>
          <w:tcPr>
            <w:tcW w:w="1350" w:type="dxa"/>
            <w:vMerge w:val="continue"/>
            <w:tcBorders>
              <w:tl2br w:val="nil"/>
              <w:tr2bl w:val="nil"/>
            </w:tcBorders>
            <w:noWrap/>
            <w:vAlign w:val="center"/>
          </w:tcPr>
          <w:p w14:paraId="0D30B0FD">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7B7AB48C">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高级职称人员</w:t>
            </w:r>
          </w:p>
        </w:tc>
        <w:tc>
          <w:tcPr>
            <w:tcW w:w="2479" w:type="dxa"/>
            <w:gridSpan w:val="2"/>
            <w:tcBorders>
              <w:tl2br w:val="nil"/>
              <w:tr2bl w:val="nil"/>
            </w:tcBorders>
            <w:noWrap/>
            <w:vAlign w:val="center"/>
          </w:tcPr>
          <w:p w14:paraId="7081987B">
            <w:pPr>
              <w:spacing w:line="380" w:lineRule="exact"/>
              <w:jc w:val="center"/>
              <w:rPr>
                <w:rFonts w:ascii="微软雅黑" w:hAnsi="微软雅黑" w:eastAsia="微软雅黑" w:cs="微软雅黑"/>
                <w:szCs w:val="21"/>
              </w:rPr>
            </w:pPr>
          </w:p>
        </w:tc>
      </w:tr>
      <w:tr w14:paraId="16963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D6E3EBF">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注册资金</w:t>
            </w:r>
          </w:p>
        </w:tc>
        <w:tc>
          <w:tcPr>
            <w:tcW w:w="2183" w:type="dxa"/>
            <w:gridSpan w:val="2"/>
            <w:tcBorders>
              <w:tl2br w:val="nil"/>
              <w:tr2bl w:val="nil"/>
            </w:tcBorders>
            <w:noWrap/>
            <w:vAlign w:val="center"/>
          </w:tcPr>
          <w:p w14:paraId="288931A6">
            <w:pPr>
              <w:spacing w:line="380" w:lineRule="exact"/>
              <w:textAlignment w:val="center"/>
              <w:rPr>
                <w:rFonts w:ascii="微软雅黑" w:hAnsi="微软雅黑" w:eastAsia="微软雅黑" w:cs="微软雅黑"/>
                <w:szCs w:val="21"/>
              </w:rPr>
            </w:pPr>
            <w:r>
              <w:rPr>
                <w:rFonts w:hint="eastAsia" w:ascii="微软雅黑" w:hAnsi="微软雅黑" w:eastAsia="微软雅黑" w:cs="微软雅黑"/>
                <w:szCs w:val="21"/>
              </w:rPr>
              <w:t>（万元）</w:t>
            </w:r>
          </w:p>
        </w:tc>
        <w:tc>
          <w:tcPr>
            <w:tcW w:w="1350" w:type="dxa"/>
            <w:vMerge w:val="continue"/>
            <w:tcBorders>
              <w:tl2br w:val="nil"/>
              <w:tr2bl w:val="nil"/>
            </w:tcBorders>
            <w:noWrap/>
            <w:vAlign w:val="center"/>
          </w:tcPr>
          <w:p w14:paraId="7CF512F5">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41A73DE7">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中级职称人员</w:t>
            </w:r>
          </w:p>
        </w:tc>
        <w:tc>
          <w:tcPr>
            <w:tcW w:w="2479" w:type="dxa"/>
            <w:gridSpan w:val="2"/>
            <w:tcBorders>
              <w:tl2br w:val="nil"/>
              <w:tr2bl w:val="nil"/>
            </w:tcBorders>
            <w:noWrap/>
            <w:vAlign w:val="center"/>
          </w:tcPr>
          <w:p w14:paraId="71A10B1A">
            <w:pPr>
              <w:spacing w:line="380" w:lineRule="exact"/>
              <w:jc w:val="center"/>
              <w:rPr>
                <w:rFonts w:ascii="微软雅黑" w:hAnsi="微软雅黑" w:eastAsia="微软雅黑" w:cs="微软雅黑"/>
                <w:szCs w:val="21"/>
              </w:rPr>
            </w:pPr>
          </w:p>
        </w:tc>
      </w:tr>
      <w:tr w14:paraId="09C35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36B592B">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开户银行</w:t>
            </w:r>
          </w:p>
        </w:tc>
        <w:tc>
          <w:tcPr>
            <w:tcW w:w="2183" w:type="dxa"/>
            <w:gridSpan w:val="2"/>
            <w:tcBorders>
              <w:tl2br w:val="nil"/>
              <w:tr2bl w:val="nil"/>
            </w:tcBorders>
            <w:noWrap/>
            <w:vAlign w:val="center"/>
          </w:tcPr>
          <w:p w14:paraId="33AAE23C">
            <w:pPr>
              <w:spacing w:line="380" w:lineRule="exact"/>
              <w:jc w:val="center"/>
              <w:rPr>
                <w:rFonts w:ascii="微软雅黑" w:hAnsi="微软雅黑" w:eastAsia="微软雅黑" w:cs="微软雅黑"/>
                <w:szCs w:val="21"/>
              </w:rPr>
            </w:pPr>
          </w:p>
        </w:tc>
        <w:tc>
          <w:tcPr>
            <w:tcW w:w="1350" w:type="dxa"/>
            <w:vMerge w:val="continue"/>
            <w:tcBorders>
              <w:tl2br w:val="nil"/>
              <w:tr2bl w:val="nil"/>
            </w:tcBorders>
            <w:noWrap/>
            <w:vAlign w:val="center"/>
          </w:tcPr>
          <w:p w14:paraId="18D22B25">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4B39B308">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初级职称人员</w:t>
            </w:r>
          </w:p>
        </w:tc>
        <w:tc>
          <w:tcPr>
            <w:tcW w:w="2479" w:type="dxa"/>
            <w:gridSpan w:val="2"/>
            <w:tcBorders>
              <w:tl2br w:val="nil"/>
              <w:tr2bl w:val="nil"/>
            </w:tcBorders>
            <w:noWrap/>
            <w:vAlign w:val="center"/>
          </w:tcPr>
          <w:p w14:paraId="2C6D5844">
            <w:pPr>
              <w:spacing w:line="380" w:lineRule="exact"/>
              <w:jc w:val="center"/>
              <w:rPr>
                <w:rFonts w:ascii="微软雅黑" w:hAnsi="微软雅黑" w:eastAsia="微软雅黑" w:cs="微软雅黑"/>
                <w:szCs w:val="21"/>
              </w:rPr>
            </w:pPr>
          </w:p>
        </w:tc>
      </w:tr>
      <w:tr w14:paraId="77F4F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C1E0D5B">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账号</w:t>
            </w:r>
          </w:p>
        </w:tc>
        <w:tc>
          <w:tcPr>
            <w:tcW w:w="2183" w:type="dxa"/>
            <w:gridSpan w:val="2"/>
            <w:tcBorders>
              <w:tl2br w:val="nil"/>
              <w:tr2bl w:val="nil"/>
            </w:tcBorders>
            <w:noWrap/>
            <w:vAlign w:val="center"/>
          </w:tcPr>
          <w:p w14:paraId="4F8A0330">
            <w:pPr>
              <w:spacing w:line="380" w:lineRule="exact"/>
              <w:jc w:val="center"/>
              <w:rPr>
                <w:rFonts w:ascii="微软雅黑" w:hAnsi="微软雅黑" w:eastAsia="微软雅黑" w:cs="微软雅黑"/>
                <w:szCs w:val="21"/>
              </w:rPr>
            </w:pPr>
          </w:p>
        </w:tc>
        <w:tc>
          <w:tcPr>
            <w:tcW w:w="1350" w:type="dxa"/>
            <w:vMerge w:val="continue"/>
            <w:tcBorders>
              <w:tl2br w:val="nil"/>
              <w:tr2bl w:val="nil"/>
            </w:tcBorders>
            <w:noWrap/>
            <w:vAlign w:val="center"/>
          </w:tcPr>
          <w:p w14:paraId="305763F6">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780863B9">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技工</w:t>
            </w:r>
          </w:p>
        </w:tc>
        <w:tc>
          <w:tcPr>
            <w:tcW w:w="2479" w:type="dxa"/>
            <w:gridSpan w:val="2"/>
            <w:tcBorders>
              <w:tl2br w:val="nil"/>
              <w:tr2bl w:val="nil"/>
            </w:tcBorders>
            <w:noWrap/>
            <w:vAlign w:val="center"/>
          </w:tcPr>
          <w:p w14:paraId="07441731">
            <w:pPr>
              <w:spacing w:line="380" w:lineRule="exact"/>
              <w:jc w:val="center"/>
              <w:rPr>
                <w:rFonts w:ascii="微软雅黑" w:hAnsi="微软雅黑" w:eastAsia="微软雅黑" w:cs="微软雅黑"/>
                <w:szCs w:val="21"/>
              </w:rPr>
            </w:pPr>
          </w:p>
        </w:tc>
      </w:tr>
      <w:tr w14:paraId="6EAAE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AB37732">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经营范围</w:t>
            </w:r>
          </w:p>
        </w:tc>
        <w:tc>
          <w:tcPr>
            <w:tcW w:w="7846" w:type="dxa"/>
            <w:gridSpan w:val="6"/>
            <w:tcBorders>
              <w:tl2br w:val="nil"/>
              <w:tr2bl w:val="nil"/>
            </w:tcBorders>
            <w:noWrap/>
            <w:vAlign w:val="center"/>
          </w:tcPr>
          <w:p w14:paraId="224647F3">
            <w:pPr>
              <w:spacing w:line="380" w:lineRule="exact"/>
              <w:jc w:val="center"/>
              <w:rPr>
                <w:rFonts w:ascii="微软雅黑" w:hAnsi="微软雅黑" w:eastAsia="微软雅黑" w:cs="微软雅黑"/>
                <w:szCs w:val="21"/>
              </w:rPr>
            </w:pPr>
          </w:p>
        </w:tc>
      </w:tr>
      <w:tr w14:paraId="10F7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6367442D">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备注</w:t>
            </w:r>
          </w:p>
        </w:tc>
        <w:tc>
          <w:tcPr>
            <w:tcW w:w="7846" w:type="dxa"/>
            <w:gridSpan w:val="6"/>
            <w:tcBorders>
              <w:tl2br w:val="nil"/>
              <w:tr2bl w:val="nil"/>
            </w:tcBorders>
            <w:noWrap/>
            <w:vAlign w:val="center"/>
          </w:tcPr>
          <w:p w14:paraId="5FE2A489">
            <w:pPr>
              <w:spacing w:line="380" w:lineRule="exact"/>
              <w:jc w:val="center"/>
              <w:rPr>
                <w:rFonts w:ascii="微软雅黑" w:hAnsi="微软雅黑" w:eastAsia="微软雅黑" w:cs="微软雅黑"/>
                <w:szCs w:val="21"/>
              </w:rPr>
            </w:pPr>
          </w:p>
        </w:tc>
      </w:tr>
    </w:tbl>
    <w:p w14:paraId="2E1FE832">
      <w:pPr>
        <w:pStyle w:val="24"/>
        <w:spacing w:line="380" w:lineRule="exact"/>
        <w:rPr>
          <w:rFonts w:ascii="微软雅黑" w:hAnsi="微软雅黑" w:eastAsia="微软雅黑" w:cs="微软雅黑"/>
          <w:b/>
          <w:bCs/>
          <w:szCs w:val="21"/>
        </w:rPr>
      </w:pPr>
    </w:p>
    <w:p w14:paraId="7C598EFC">
      <w:pPr>
        <w:pStyle w:val="24"/>
        <w:spacing w:line="380" w:lineRule="exact"/>
        <w:rPr>
          <w:rFonts w:ascii="微软雅黑" w:hAnsi="微软雅黑" w:eastAsia="微软雅黑" w:cs="微软雅黑"/>
          <w:b/>
          <w:bCs/>
          <w:szCs w:val="21"/>
        </w:rPr>
      </w:pPr>
    </w:p>
    <w:p w14:paraId="31105A2E">
      <w:pPr>
        <w:pStyle w:val="24"/>
        <w:spacing w:line="380" w:lineRule="exact"/>
        <w:rPr>
          <w:rFonts w:ascii="微软雅黑" w:hAnsi="微软雅黑" w:eastAsia="微软雅黑" w:cs="微软雅黑"/>
          <w:b/>
          <w:bCs/>
          <w:szCs w:val="21"/>
        </w:rPr>
      </w:pPr>
    </w:p>
    <w:p w14:paraId="651DA9C9">
      <w:pPr>
        <w:spacing w:line="380" w:lineRule="exact"/>
        <w:ind w:left="2970"/>
        <w:rPr>
          <w:rFonts w:ascii="微软雅黑" w:hAnsi="微软雅黑" w:eastAsia="微软雅黑" w:cs="微软雅黑"/>
          <w:b/>
          <w:bCs/>
          <w:szCs w:val="21"/>
        </w:rPr>
      </w:pPr>
    </w:p>
    <w:p w14:paraId="1995E313">
      <w:pPr>
        <w:pStyle w:val="9"/>
        <w:tabs>
          <w:tab w:val="left" w:pos="1374"/>
        </w:tabs>
        <w:spacing w:line="380" w:lineRule="exact"/>
        <w:rPr>
          <w:rFonts w:ascii="微软雅黑" w:hAnsi="微软雅黑" w:eastAsia="微软雅黑" w:cs="微软雅黑"/>
          <w:sz w:val="21"/>
          <w:szCs w:val="21"/>
        </w:rPr>
      </w:pPr>
      <w:r>
        <w:rPr>
          <w:rFonts w:hint="eastAsia" w:ascii="微软雅黑" w:hAnsi="微软雅黑" w:eastAsia="微软雅黑" w:cs="微软雅黑"/>
          <w:b/>
          <w:bCs/>
          <w:sz w:val="21"/>
          <w:szCs w:val="21"/>
        </w:rPr>
        <w:t>备注：</w:t>
      </w:r>
      <w:r>
        <w:rPr>
          <w:rFonts w:hint="eastAsia" w:ascii="微软雅黑" w:hAnsi="微软雅黑" w:eastAsia="微软雅黑" w:cs="微软雅黑"/>
          <w:sz w:val="21"/>
          <w:szCs w:val="21"/>
        </w:rPr>
        <w:t>1.本表后应附资质要求对应的相关证明材料复印件；</w:t>
      </w:r>
    </w:p>
    <w:p w14:paraId="6D08F543">
      <w:pPr>
        <w:pStyle w:val="9"/>
        <w:tabs>
          <w:tab w:val="left" w:pos="1374"/>
        </w:tabs>
        <w:spacing w:line="38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2.无响应指标的应写明无。</w:t>
      </w:r>
    </w:p>
    <w:p w14:paraId="66F936EE">
      <w:pPr>
        <w:spacing w:line="380" w:lineRule="exact"/>
        <w:rPr>
          <w:rFonts w:ascii="微软雅黑" w:hAnsi="微软雅黑" w:eastAsia="微软雅黑" w:cs="微软雅黑"/>
          <w:b/>
          <w:bCs/>
          <w:szCs w:val="21"/>
        </w:rPr>
      </w:pPr>
      <w:r>
        <w:rPr>
          <w:rFonts w:hint="eastAsia" w:ascii="微软雅黑" w:hAnsi="微软雅黑" w:eastAsia="微软雅黑" w:cs="微软雅黑"/>
          <w:b/>
          <w:bCs/>
          <w:szCs w:val="21"/>
        </w:rPr>
        <w:br w:type="page"/>
      </w:r>
    </w:p>
    <w:p w14:paraId="58CF8C9F">
      <w:pPr>
        <w:widowControl/>
        <w:spacing w:line="380" w:lineRule="exact"/>
        <w:outlineLvl w:val="3"/>
        <w:rPr>
          <w:rFonts w:ascii="微软雅黑" w:hAnsi="微软雅黑" w:eastAsia="微软雅黑" w:cs="微软雅黑"/>
          <w:b/>
          <w:bCs/>
          <w:color w:val="000000"/>
          <w:kern w:val="0"/>
          <w:szCs w:val="21"/>
          <w:lang w:bidi="ar"/>
        </w:rPr>
      </w:pPr>
      <w:bookmarkStart w:id="21" w:name="_Toc15698"/>
      <w:r>
        <w:rPr>
          <w:rFonts w:hint="eastAsia" w:ascii="微软雅黑" w:hAnsi="微软雅黑" w:eastAsia="微软雅黑" w:cs="微软雅黑"/>
          <w:b/>
          <w:bCs/>
          <w:color w:val="000000"/>
          <w:kern w:val="0"/>
          <w:szCs w:val="21"/>
          <w:lang w:bidi="ar"/>
        </w:rPr>
        <w:t>附：</w:t>
      </w:r>
    </w:p>
    <w:p w14:paraId="108128E4">
      <w:pPr>
        <w:widowControl/>
        <w:numPr>
          <w:ilvl w:val="0"/>
          <w:numId w:val="11"/>
        </w:numPr>
        <w:spacing w:line="380" w:lineRule="exact"/>
        <w:jc w:val="center"/>
        <w:outlineLvl w:val="4"/>
        <w:rPr>
          <w:rFonts w:ascii="微软雅黑" w:hAnsi="微软雅黑" w:eastAsia="微软雅黑" w:cs="微软雅黑"/>
          <w:b/>
          <w:bCs/>
          <w:szCs w:val="21"/>
        </w:rPr>
      </w:pPr>
      <w:r>
        <w:rPr>
          <w:rFonts w:hint="eastAsia" w:ascii="微软雅黑" w:hAnsi="微软雅黑" w:eastAsia="微软雅黑" w:cs="微软雅黑"/>
          <w:b/>
          <w:bCs/>
          <w:color w:val="000000"/>
          <w:kern w:val="0"/>
          <w:szCs w:val="21"/>
          <w:lang w:bidi="ar"/>
        </w:rPr>
        <w:t>独立承担民事责任的能力</w:t>
      </w:r>
      <w:bookmarkEnd w:id="21"/>
    </w:p>
    <w:p w14:paraId="2D80AD11">
      <w:pPr>
        <w:pStyle w:val="24"/>
        <w:spacing w:line="380" w:lineRule="exact"/>
        <w:rPr>
          <w:rFonts w:ascii="微软雅黑" w:hAnsi="微软雅黑" w:eastAsia="微软雅黑" w:cs="微软雅黑"/>
          <w:szCs w:val="21"/>
        </w:rPr>
      </w:pPr>
    </w:p>
    <w:p w14:paraId="52276FE1">
      <w:pPr>
        <w:pStyle w:val="24"/>
        <w:spacing w:line="380" w:lineRule="exact"/>
        <w:ind w:firstLine="210" w:firstLineChars="100"/>
        <w:rPr>
          <w:rFonts w:ascii="微软雅黑" w:hAnsi="微软雅黑" w:eastAsia="微软雅黑" w:cs="微软雅黑"/>
          <w:szCs w:val="21"/>
        </w:rPr>
      </w:pPr>
      <w:r>
        <w:rPr>
          <w:rFonts w:hint="eastAsia" w:ascii="微软雅黑" w:hAnsi="微软雅黑" w:eastAsia="微软雅黑" w:cs="微软雅黑"/>
          <w:szCs w:val="21"/>
        </w:rPr>
        <w:t>营业执照复印件加盖公章粘贴于此处</w:t>
      </w:r>
    </w:p>
    <w:p w14:paraId="54A38D45">
      <w:pPr>
        <w:numPr>
          <w:ilvl w:val="0"/>
          <w:numId w:val="11"/>
        </w:numPr>
        <w:tabs>
          <w:tab w:val="left" w:pos="462"/>
        </w:tabs>
        <w:spacing w:line="380" w:lineRule="exact"/>
        <w:jc w:val="center"/>
        <w:rPr>
          <w:rFonts w:ascii="微软雅黑" w:hAnsi="微软雅黑" w:eastAsia="微软雅黑" w:cs="微软雅黑"/>
          <w:b/>
          <w:bCs/>
          <w:szCs w:val="21"/>
        </w:rPr>
        <w:sectPr>
          <w:pgSz w:w="11906" w:h="16838"/>
          <w:pgMar w:top="1100" w:right="1800" w:bottom="1157" w:left="1800" w:header="851" w:footer="992" w:gutter="0"/>
          <w:cols w:space="425" w:num="1"/>
          <w:docGrid w:type="lines" w:linePitch="312" w:charSpace="0"/>
        </w:sectPr>
      </w:pPr>
      <w:r>
        <w:rPr>
          <w:rFonts w:hint="eastAsia" w:ascii="微软雅黑" w:hAnsi="微软雅黑" w:eastAsia="微软雅黑" w:cs="微软雅黑"/>
          <w:b/>
          <w:bCs/>
          <w:szCs w:val="21"/>
        </w:rPr>
        <w:br w:type="page"/>
      </w:r>
    </w:p>
    <w:p w14:paraId="71A2D0A6">
      <w:pPr>
        <w:widowControl/>
        <w:spacing w:line="380" w:lineRule="exact"/>
        <w:ind w:firstLine="2941" w:firstLineChars="1400"/>
        <w:outlineLvl w:val="4"/>
        <w:rPr>
          <w:rFonts w:ascii="微软雅黑" w:hAnsi="微软雅黑" w:eastAsia="微软雅黑" w:cs="微软雅黑"/>
          <w:b/>
          <w:bCs/>
          <w:color w:val="000000"/>
          <w:kern w:val="0"/>
          <w:szCs w:val="21"/>
          <w:lang w:bidi="ar"/>
        </w:rPr>
      </w:pPr>
      <w:bookmarkStart w:id="22" w:name="_Toc29012"/>
      <w:r>
        <w:rPr>
          <w:rFonts w:hint="eastAsia" w:ascii="微软雅黑" w:hAnsi="微软雅黑" w:eastAsia="微软雅黑" w:cs="微软雅黑"/>
          <w:b/>
          <w:bCs/>
          <w:color w:val="000000"/>
          <w:kern w:val="0"/>
          <w:szCs w:val="21"/>
          <w:lang w:bidi="ar"/>
        </w:rPr>
        <w:t>（2) 资格承诺函</w:t>
      </w:r>
    </w:p>
    <w:p w14:paraId="4984057F">
      <w:pPr>
        <w:spacing w:line="380" w:lineRule="exact"/>
        <w:rPr>
          <w:rFonts w:ascii="微软雅黑" w:hAnsi="微软雅黑" w:eastAsia="微软雅黑" w:cs="微软雅黑"/>
          <w:szCs w:val="21"/>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丹阳市人民医院</w:t>
      </w:r>
    </w:p>
    <w:p w14:paraId="78C0812E">
      <w:pPr>
        <w:spacing w:line="380" w:lineRule="exact"/>
        <w:ind w:firstLine="420" w:firstLineChars="200"/>
        <w:rPr>
          <w:rFonts w:ascii="微软雅黑" w:hAnsi="微软雅黑" w:eastAsia="微软雅黑" w:cs="微软雅黑"/>
          <w:szCs w:val="21"/>
        </w:rPr>
      </w:pPr>
      <w:r>
        <w:rPr>
          <w:rFonts w:hint="eastAsia" w:ascii="微软雅黑" w:hAnsi="微软雅黑" w:eastAsia="微软雅黑" w:cs="微软雅黑"/>
          <w:color w:val="000000"/>
          <w:szCs w:val="21"/>
        </w:rPr>
        <w:t>我单位参与</w:t>
      </w:r>
      <w:r>
        <w:rPr>
          <w:rFonts w:hint="eastAsia" w:ascii="微软雅黑" w:hAnsi="微软雅黑" w:eastAsia="微软雅黑" w:cs="微软雅黑"/>
          <w:szCs w:val="21"/>
          <w:u w:val="single"/>
        </w:rPr>
        <w:t>丹阳市人民医院终端安全和准入控制系统采购项目</w:t>
      </w:r>
      <w:r>
        <w:rPr>
          <w:rFonts w:hint="eastAsia" w:ascii="微软雅黑" w:hAnsi="微软雅黑" w:eastAsia="微软雅黑" w:cs="微软雅黑"/>
          <w:color w:val="000000"/>
          <w:szCs w:val="21"/>
        </w:rPr>
        <w:t>的采购活动，现承诺如下：</w:t>
      </w:r>
    </w:p>
    <w:p w14:paraId="67FF30EB">
      <w:pPr>
        <w:spacing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1．我方具有良好的商业信誉和健全的财务会计制度。</w:t>
      </w:r>
    </w:p>
    <w:p w14:paraId="47B027F1">
      <w:pPr>
        <w:spacing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2．我方具有履行合同所必需的设备和专业技术能力。</w:t>
      </w:r>
    </w:p>
    <w:p w14:paraId="203A9060">
      <w:pPr>
        <w:spacing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3．我方具有依法缴纳税收和社会保障资金的良好记录。</w:t>
      </w:r>
    </w:p>
    <w:p w14:paraId="3AE2D921">
      <w:pPr>
        <w:spacing w:line="380" w:lineRule="exact"/>
        <w:ind w:firstLine="620"/>
        <w:rPr>
          <w:rFonts w:ascii="微软雅黑" w:hAnsi="微软雅黑" w:eastAsia="微软雅黑" w:cs="微软雅黑"/>
          <w:color w:val="000000"/>
          <w:szCs w:val="21"/>
        </w:rPr>
      </w:pPr>
      <w:r>
        <w:rPr>
          <w:rFonts w:hint="eastAsia" w:ascii="微软雅黑" w:hAnsi="微软雅黑" w:eastAsia="微软雅黑" w:cs="微软雅黑"/>
          <w:color w:val="000000"/>
          <w:szCs w:val="21"/>
        </w:rPr>
        <w:t>4．我方参加本项目采购活动前三年内，在经营活动中没有重大违法记录。</w:t>
      </w:r>
    </w:p>
    <w:p w14:paraId="691B21CF">
      <w:pPr>
        <w:spacing w:line="380" w:lineRule="exact"/>
        <w:ind w:firstLine="620"/>
        <w:rPr>
          <w:rFonts w:ascii="微软雅黑" w:hAnsi="微软雅黑" w:eastAsia="微软雅黑" w:cs="微软雅黑"/>
          <w:color w:val="000000"/>
          <w:szCs w:val="21"/>
        </w:rPr>
      </w:pPr>
      <w:r>
        <w:rPr>
          <w:rFonts w:hint="eastAsia" w:ascii="微软雅黑" w:hAnsi="微软雅黑" w:eastAsia="微软雅黑" w:cs="微软雅黑"/>
          <w:color w:val="000000"/>
          <w:szCs w:val="21"/>
        </w:rPr>
        <w:t>5. 我方为</w:t>
      </w:r>
      <w:r>
        <w:rPr>
          <w:rFonts w:hint="eastAsia" w:ascii="微软雅黑" w:hAnsi="微软雅黑" w:eastAsia="微软雅黑" w:cs="微软雅黑"/>
          <w:szCs w:val="21"/>
          <w:highlight w:val="white"/>
        </w:rPr>
        <w:t>中小微企。</w:t>
      </w:r>
    </w:p>
    <w:p w14:paraId="78186638">
      <w:pPr>
        <w:spacing w:after="560"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若我单位承诺不实，自愿承担提供虚假材料谋取中标、成交的法律责任。</w:t>
      </w:r>
    </w:p>
    <w:p w14:paraId="3E1049E3">
      <w:pPr>
        <w:spacing w:line="380" w:lineRule="exact"/>
        <w:ind w:firstLine="94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投标（响应）供应商（全称并盖章）：</w:t>
      </w:r>
    </w:p>
    <w:p w14:paraId="1E25A69A">
      <w:pPr>
        <w:pStyle w:val="26"/>
        <w:spacing w:line="380" w:lineRule="exact"/>
        <w:ind w:firstLine="420"/>
        <w:rPr>
          <w:rFonts w:ascii="微软雅黑" w:hAnsi="微软雅黑" w:eastAsia="微软雅黑" w:cs="微软雅黑"/>
          <w:szCs w:val="21"/>
        </w:rPr>
      </w:pPr>
    </w:p>
    <w:p w14:paraId="6C2DD6AA">
      <w:pPr>
        <w:spacing w:line="380" w:lineRule="exact"/>
        <w:ind w:firstLine="940"/>
        <w:rPr>
          <w:rFonts w:ascii="微软雅黑" w:hAnsi="微软雅黑" w:eastAsia="微软雅黑" w:cs="微软雅黑"/>
          <w:color w:val="000000"/>
          <w:szCs w:val="21"/>
        </w:rPr>
      </w:pPr>
      <w:r>
        <w:rPr>
          <w:rFonts w:hint="eastAsia" w:ascii="微软雅黑" w:hAnsi="微软雅黑" w:eastAsia="微软雅黑" w:cs="微软雅黑"/>
          <w:color w:val="000000"/>
          <w:szCs w:val="21"/>
        </w:rPr>
        <w:t>供应商法定代表人或授权代表（签字或签章）：</w:t>
      </w:r>
    </w:p>
    <w:p w14:paraId="2B06E3D1">
      <w:pPr>
        <w:pStyle w:val="26"/>
        <w:spacing w:line="380" w:lineRule="exact"/>
        <w:ind w:firstLine="420"/>
        <w:rPr>
          <w:rFonts w:ascii="微软雅黑" w:hAnsi="微软雅黑" w:eastAsia="微软雅黑" w:cs="微软雅黑"/>
          <w:szCs w:val="21"/>
        </w:rPr>
      </w:pPr>
    </w:p>
    <w:p w14:paraId="50E3E3BC">
      <w:pPr>
        <w:spacing w:after="440" w:line="380" w:lineRule="exact"/>
        <w:ind w:firstLine="940"/>
        <w:rPr>
          <w:rFonts w:ascii="微软雅黑" w:hAnsi="微软雅黑" w:eastAsia="微软雅黑" w:cs="微软雅黑"/>
          <w:szCs w:val="21"/>
        </w:rPr>
      </w:pPr>
      <w:r>
        <w:rPr>
          <w:rFonts w:hint="eastAsia" w:ascii="微软雅黑" w:hAnsi="微软雅黑" w:eastAsia="微软雅黑" w:cs="微软雅黑"/>
          <w:color w:val="000000"/>
          <w:szCs w:val="21"/>
        </w:rPr>
        <w:t>日期：</w:t>
      </w:r>
    </w:p>
    <w:bookmarkEnd w:id="22"/>
    <w:p w14:paraId="0324359E">
      <w:pPr>
        <w:pStyle w:val="24"/>
        <w:spacing w:line="380" w:lineRule="exact"/>
        <w:ind w:firstLine="0"/>
        <w:rPr>
          <w:rFonts w:ascii="微软雅黑" w:hAnsi="微软雅黑" w:eastAsia="微软雅黑" w:cs="微软雅黑"/>
          <w:szCs w:val="21"/>
        </w:rPr>
      </w:pPr>
    </w:p>
    <w:p w14:paraId="6D892EAB">
      <w:pPr>
        <w:pStyle w:val="24"/>
        <w:spacing w:line="380" w:lineRule="exact"/>
        <w:ind w:firstLine="0"/>
        <w:rPr>
          <w:rFonts w:ascii="微软雅黑" w:hAnsi="微软雅黑" w:eastAsia="微软雅黑" w:cs="微软雅黑"/>
          <w:szCs w:val="21"/>
        </w:rPr>
      </w:pPr>
    </w:p>
    <w:p w14:paraId="7F112CDF">
      <w:pPr>
        <w:pStyle w:val="24"/>
        <w:spacing w:line="380" w:lineRule="exact"/>
        <w:ind w:firstLine="0"/>
        <w:rPr>
          <w:rFonts w:ascii="微软雅黑" w:hAnsi="微软雅黑" w:eastAsia="微软雅黑" w:cs="微软雅黑"/>
          <w:szCs w:val="21"/>
        </w:rPr>
      </w:pPr>
    </w:p>
    <w:p w14:paraId="5347F930">
      <w:pPr>
        <w:pStyle w:val="24"/>
        <w:spacing w:line="380" w:lineRule="exact"/>
        <w:ind w:firstLine="0"/>
        <w:rPr>
          <w:rFonts w:ascii="微软雅黑" w:hAnsi="微软雅黑" w:eastAsia="微软雅黑" w:cs="微软雅黑"/>
          <w:szCs w:val="21"/>
        </w:rPr>
      </w:pPr>
    </w:p>
    <w:p w14:paraId="781D097A">
      <w:pPr>
        <w:adjustRightInd w:val="0"/>
        <w:snapToGrid w:val="0"/>
        <w:spacing w:line="3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说明：</w:t>
      </w:r>
    </w:p>
    <w:p w14:paraId="1A7C492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color w:val="000000"/>
          <w:szCs w:val="21"/>
        </w:rPr>
        <w:t>1．供应商可自行选择是否提供本承诺函，若不提供本承诺函的，应按采购文件要求提供相应的证明材料。</w:t>
      </w:r>
    </w:p>
    <w:p w14:paraId="4C43882A">
      <w:pPr>
        <w:adjustRightInd w:val="0"/>
        <w:snapToGrid w:val="0"/>
        <w:spacing w:line="3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2．供应商可删减承诺事项，删减的承诺事项须按采购文件要求提供相应的证明材料。比如删去本承诺函第3项的，则应按采购文件要求提供依法缴纳税收和社会保障资金的良好记录。</w:t>
      </w:r>
    </w:p>
    <w:p w14:paraId="4306D41C">
      <w:pPr>
        <w:pStyle w:val="24"/>
        <w:spacing w:line="380" w:lineRule="exact"/>
        <w:ind w:left="0" w:firstLine="2311" w:firstLineChars="1100"/>
        <w:rPr>
          <w:rFonts w:ascii="微软雅黑" w:hAnsi="微软雅黑" w:eastAsia="微软雅黑" w:cs="微软雅黑"/>
          <w:b/>
          <w:bCs/>
          <w:szCs w:val="21"/>
        </w:rPr>
      </w:pPr>
    </w:p>
    <w:p w14:paraId="042F15F4">
      <w:pPr>
        <w:pStyle w:val="24"/>
        <w:spacing w:line="380" w:lineRule="exact"/>
        <w:ind w:left="0" w:firstLine="2311" w:firstLineChars="1100"/>
        <w:rPr>
          <w:rFonts w:ascii="微软雅黑" w:hAnsi="微软雅黑" w:eastAsia="微软雅黑" w:cs="微软雅黑"/>
          <w:b/>
          <w:bCs/>
          <w:szCs w:val="21"/>
        </w:rPr>
      </w:pPr>
    </w:p>
    <w:p w14:paraId="5008CF86">
      <w:pPr>
        <w:pStyle w:val="24"/>
        <w:spacing w:line="380" w:lineRule="exact"/>
        <w:ind w:left="0" w:firstLine="2311" w:firstLineChars="1100"/>
        <w:rPr>
          <w:rFonts w:ascii="微软雅黑" w:hAnsi="微软雅黑" w:eastAsia="微软雅黑" w:cs="微软雅黑"/>
          <w:b/>
          <w:bCs/>
          <w:szCs w:val="21"/>
        </w:rPr>
      </w:pPr>
    </w:p>
    <w:p w14:paraId="375CF3CE">
      <w:pPr>
        <w:pStyle w:val="24"/>
        <w:spacing w:line="380" w:lineRule="exact"/>
        <w:ind w:left="0" w:firstLine="2311" w:firstLineChars="1100"/>
        <w:rPr>
          <w:rFonts w:ascii="微软雅黑" w:hAnsi="微软雅黑" w:eastAsia="微软雅黑" w:cs="微软雅黑"/>
          <w:b/>
          <w:bCs/>
          <w:szCs w:val="21"/>
        </w:rPr>
      </w:pPr>
    </w:p>
    <w:p w14:paraId="05DE58D6">
      <w:pPr>
        <w:pStyle w:val="24"/>
        <w:spacing w:line="380" w:lineRule="exact"/>
        <w:ind w:left="0" w:firstLine="2311" w:firstLineChars="1100"/>
        <w:rPr>
          <w:rFonts w:ascii="微软雅黑" w:hAnsi="微软雅黑" w:eastAsia="微软雅黑" w:cs="微软雅黑"/>
          <w:b/>
          <w:bCs/>
          <w:szCs w:val="21"/>
        </w:rPr>
      </w:pPr>
    </w:p>
    <w:p w14:paraId="3B7D2609">
      <w:pPr>
        <w:pStyle w:val="24"/>
        <w:spacing w:line="380" w:lineRule="exact"/>
        <w:ind w:left="0" w:firstLine="2311" w:firstLineChars="1100"/>
        <w:rPr>
          <w:rFonts w:ascii="微软雅黑" w:hAnsi="微软雅黑" w:eastAsia="微软雅黑" w:cs="微软雅黑"/>
          <w:b/>
          <w:bCs/>
          <w:szCs w:val="21"/>
        </w:rPr>
      </w:pPr>
    </w:p>
    <w:p w14:paraId="2B905795">
      <w:pPr>
        <w:pStyle w:val="24"/>
        <w:spacing w:line="380" w:lineRule="exact"/>
        <w:ind w:left="0" w:firstLine="2311" w:firstLineChars="1100"/>
        <w:rPr>
          <w:rFonts w:ascii="微软雅黑" w:hAnsi="微软雅黑" w:eastAsia="微软雅黑" w:cs="微软雅黑"/>
          <w:b/>
          <w:bCs/>
          <w:szCs w:val="21"/>
        </w:rPr>
      </w:pPr>
    </w:p>
    <w:p w14:paraId="55E5DC96">
      <w:pPr>
        <w:pStyle w:val="24"/>
        <w:spacing w:line="380" w:lineRule="exact"/>
        <w:ind w:left="0" w:firstLine="2311" w:firstLineChars="1100"/>
        <w:rPr>
          <w:rFonts w:ascii="微软雅黑" w:hAnsi="微软雅黑" w:eastAsia="微软雅黑" w:cs="微软雅黑"/>
          <w:b/>
          <w:bCs/>
          <w:szCs w:val="21"/>
        </w:rPr>
      </w:pPr>
    </w:p>
    <w:p w14:paraId="3769F76E">
      <w:pPr>
        <w:pStyle w:val="24"/>
        <w:spacing w:line="380" w:lineRule="exact"/>
        <w:ind w:left="0" w:firstLine="2311" w:firstLineChars="1100"/>
        <w:rPr>
          <w:rFonts w:ascii="微软雅黑" w:hAnsi="微软雅黑" w:eastAsia="微软雅黑" w:cs="微软雅黑"/>
          <w:b/>
          <w:bCs/>
          <w:szCs w:val="21"/>
        </w:rPr>
      </w:pPr>
    </w:p>
    <w:p w14:paraId="3B97E8BB">
      <w:pPr>
        <w:pStyle w:val="24"/>
        <w:spacing w:line="380" w:lineRule="exact"/>
        <w:ind w:left="0" w:firstLine="2311" w:firstLineChars="1100"/>
        <w:rPr>
          <w:rFonts w:ascii="微软雅黑" w:hAnsi="微软雅黑" w:eastAsia="微软雅黑" w:cs="微软雅黑"/>
          <w:b/>
          <w:bCs/>
          <w:szCs w:val="21"/>
        </w:rPr>
      </w:pPr>
    </w:p>
    <w:bookmarkEnd w:id="20"/>
    <w:p w14:paraId="01E5B50E">
      <w:pPr>
        <w:pStyle w:val="4"/>
        <w:numPr>
          <w:ilvl w:val="2"/>
          <w:numId w:val="0"/>
        </w:numPr>
        <w:spacing w:line="380" w:lineRule="exact"/>
        <w:ind w:firstLine="2311" w:firstLineChars="1100"/>
        <w:rPr>
          <w:rFonts w:ascii="微软雅黑" w:hAnsi="微软雅黑" w:eastAsia="微软雅黑" w:cs="微软雅黑"/>
          <w:sz w:val="21"/>
          <w:szCs w:val="21"/>
        </w:rPr>
      </w:pPr>
      <w:r>
        <w:rPr>
          <w:rFonts w:hint="eastAsia" w:ascii="微软雅黑" w:hAnsi="微软雅黑" w:eastAsia="微软雅黑" w:cs="微软雅黑"/>
          <w:sz w:val="21"/>
          <w:szCs w:val="21"/>
        </w:rPr>
        <w:t>六、技术和服务要求响应偏离表</w:t>
      </w:r>
    </w:p>
    <w:p w14:paraId="2F11EA0C">
      <w:pPr>
        <w:spacing w:line="380" w:lineRule="exact"/>
        <w:rPr>
          <w:rFonts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D00961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csNPrEBAAB2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cPlBCqcsj/zP08/fv36I5GF9&#10;Bk8lhz34+5AYkr9F/UjC4edOuRY+kWeVOT/FFifB6UJT2tgEm9KZshiz/ruj/jBGodl5lVrQB3+h&#10;ykOSDxS/AFqRjEoGLpjVVttbiqmsKg8hqYbDG9P3ebS9O3Fw4N4DeTem7Oc+kxXH9TjRXmO9Y3k2&#10;Ppi2O+HI48hlp9VJ8/73npV4/i7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Byw0+sQEA&#10;AHYDAAAOAAAAAAAAAAEAIAAAAB4BAABkcnMvZTJvRG9jLnhtbFBLBQYAAAAABgAGAFkBAABBBQAA&#10;AAA=&#10;">
                <v:fill on="f" focussize="0,0"/>
                <v:stroke on="f"/>
                <v:imagedata o:title=""/>
                <o:lock v:ext="edit" aspectratio="t"/>
                <v:textbox>
                  <w:txbxContent>
                    <w:p w14:paraId="4D009612"/>
                  </w:txbxContent>
                </v:textbox>
                <w10:wrap type="none"/>
                <w10:anchorlock/>
              </v:rect>
            </w:pict>
          </mc:Fallback>
        </mc:AlternateContent>
      </w:r>
      <w:r>
        <w:rPr>
          <w:rFonts w:hint="eastAsia" w:ascii="微软雅黑" w:hAnsi="微软雅黑" w:eastAsia="微软雅黑" w:cs="微软雅黑"/>
          <w:szCs w:val="21"/>
          <w:u w:val="single"/>
        </w:rPr>
        <w:t>丹阳市人民医院终端安全和准入控制系统采购项目</w:t>
      </w:r>
    </w:p>
    <w:tbl>
      <w:tblPr>
        <w:tblStyle w:val="18"/>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1F09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3C97A6A3">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序号</w:t>
            </w:r>
          </w:p>
        </w:tc>
        <w:tc>
          <w:tcPr>
            <w:tcW w:w="2658" w:type="dxa"/>
            <w:vAlign w:val="center"/>
          </w:tcPr>
          <w:p w14:paraId="4FC850F0">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采购文件规定的技术和服务要求</w:t>
            </w:r>
          </w:p>
        </w:tc>
        <w:tc>
          <w:tcPr>
            <w:tcW w:w="2873" w:type="dxa"/>
            <w:vAlign w:val="center"/>
          </w:tcPr>
          <w:p w14:paraId="22F668EA">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投标文件响应的具体内容</w:t>
            </w:r>
          </w:p>
        </w:tc>
        <w:tc>
          <w:tcPr>
            <w:tcW w:w="1509" w:type="dxa"/>
            <w:vAlign w:val="center"/>
          </w:tcPr>
          <w:p w14:paraId="2BB3186E">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是否偏离</w:t>
            </w:r>
          </w:p>
        </w:tc>
        <w:tc>
          <w:tcPr>
            <w:tcW w:w="1341" w:type="dxa"/>
            <w:vAlign w:val="center"/>
          </w:tcPr>
          <w:p w14:paraId="1DB358E7">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备注</w:t>
            </w:r>
          </w:p>
        </w:tc>
      </w:tr>
      <w:tr w14:paraId="293D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14C92F1">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25B39BEF">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09CDEA55">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0C403992">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339F222D">
            <w:pPr>
              <w:tabs>
                <w:tab w:val="left" w:pos="6300"/>
              </w:tabs>
              <w:snapToGrid w:val="0"/>
              <w:spacing w:line="380" w:lineRule="exact"/>
              <w:jc w:val="center"/>
              <w:outlineLvl w:val="0"/>
              <w:rPr>
                <w:rFonts w:ascii="微软雅黑" w:hAnsi="微软雅黑" w:eastAsia="微软雅黑" w:cs="微软雅黑"/>
                <w:szCs w:val="21"/>
              </w:rPr>
            </w:pPr>
          </w:p>
        </w:tc>
      </w:tr>
      <w:tr w14:paraId="0F41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92115C6">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1A5FC16E">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7F831ABF">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6A4A8DD3">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565CDD52">
            <w:pPr>
              <w:tabs>
                <w:tab w:val="left" w:pos="6300"/>
              </w:tabs>
              <w:snapToGrid w:val="0"/>
              <w:spacing w:line="380" w:lineRule="exact"/>
              <w:jc w:val="center"/>
              <w:outlineLvl w:val="0"/>
              <w:rPr>
                <w:rFonts w:ascii="微软雅黑" w:hAnsi="微软雅黑" w:eastAsia="微软雅黑" w:cs="微软雅黑"/>
                <w:szCs w:val="21"/>
              </w:rPr>
            </w:pPr>
          </w:p>
        </w:tc>
      </w:tr>
      <w:tr w14:paraId="3CEA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B13A01F">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376BDC31">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5CF2F595">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76A56F28">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37994065">
            <w:pPr>
              <w:tabs>
                <w:tab w:val="left" w:pos="6300"/>
              </w:tabs>
              <w:snapToGrid w:val="0"/>
              <w:spacing w:line="380" w:lineRule="exact"/>
              <w:jc w:val="center"/>
              <w:outlineLvl w:val="0"/>
              <w:rPr>
                <w:rFonts w:ascii="微软雅黑" w:hAnsi="微软雅黑" w:eastAsia="微软雅黑" w:cs="微软雅黑"/>
                <w:szCs w:val="21"/>
              </w:rPr>
            </w:pPr>
          </w:p>
        </w:tc>
      </w:tr>
      <w:tr w14:paraId="6605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B23A7D4">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22C28FEA">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39AF1C29">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197BEE0E">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36598477">
            <w:pPr>
              <w:tabs>
                <w:tab w:val="left" w:pos="6300"/>
              </w:tabs>
              <w:snapToGrid w:val="0"/>
              <w:spacing w:line="380" w:lineRule="exact"/>
              <w:jc w:val="center"/>
              <w:outlineLvl w:val="0"/>
              <w:rPr>
                <w:rFonts w:ascii="微软雅黑" w:hAnsi="微软雅黑" w:eastAsia="微软雅黑" w:cs="微软雅黑"/>
                <w:szCs w:val="21"/>
              </w:rPr>
            </w:pPr>
          </w:p>
        </w:tc>
      </w:tr>
      <w:tr w14:paraId="14A7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B525FE5">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7EC96435">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36172790">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0CECD748">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150E4E7E">
            <w:pPr>
              <w:tabs>
                <w:tab w:val="left" w:pos="6300"/>
              </w:tabs>
              <w:snapToGrid w:val="0"/>
              <w:spacing w:line="380" w:lineRule="exact"/>
              <w:jc w:val="center"/>
              <w:outlineLvl w:val="0"/>
              <w:rPr>
                <w:rFonts w:ascii="微软雅黑" w:hAnsi="微软雅黑" w:eastAsia="微软雅黑" w:cs="微软雅黑"/>
                <w:szCs w:val="21"/>
              </w:rPr>
            </w:pPr>
          </w:p>
        </w:tc>
      </w:tr>
      <w:tr w14:paraId="0F0C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D1104B7">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57F04759">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2BBC592A">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6E5FD93C">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4250E713">
            <w:pPr>
              <w:tabs>
                <w:tab w:val="left" w:pos="6300"/>
              </w:tabs>
              <w:snapToGrid w:val="0"/>
              <w:spacing w:line="380" w:lineRule="exact"/>
              <w:jc w:val="center"/>
              <w:outlineLvl w:val="0"/>
              <w:rPr>
                <w:rFonts w:ascii="微软雅黑" w:hAnsi="微软雅黑" w:eastAsia="微软雅黑" w:cs="微软雅黑"/>
                <w:szCs w:val="21"/>
              </w:rPr>
            </w:pPr>
          </w:p>
        </w:tc>
      </w:tr>
      <w:tr w14:paraId="6AB8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B296A07">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6E130533">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254362B3">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104CE1A1">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7D96B32A">
            <w:pPr>
              <w:tabs>
                <w:tab w:val="left" w:pos="6300"/>
              </w:tabs>
              <w:snapToGrid w:val="0"/>
              <w:spacing w:line="380" w:lineRule="exact"/>
              <w:jc w:val="center"/>
              <w:outlineLvl w:val="0"/>
              <w:rPr>
                <w:rFonts w:ascii="微软雅黑" w:hAnsi="微软雅黑" w:eastAsia="微软雅黑" w:cs="微软雅黑"/>
                <w:szCs w:val="21"/>
              </w:rPr>
            </w:pPr>
          </w:p>
        </w:tc>
      </w:tr>
      <w:tr w14:paraId="3243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963CA26">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673069E8">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65A36203">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1576AB1F">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17E4151C">
            <w:pPr>
              <w:tabs>
                <w:tab w:val="left" w:pos="6300"/>
              </w:tabs>
              <w:snapToGrid w:val="0"/>
              <w:spacing w:line="380" w:lineRule="exact"/>
              <w:jc w:val="center"/>
              <w:outlineLvl w:val="0"/>
              <w:rPr>
                <w:rFonts w:ascii="微软雅黑" w:hAnsi="微软雅黑" w:eastAsia="微软雅黑" w:cs="微软雅黑"/>
                <w:szCs w:val="21"/>
              </w:rPr>
            </w:pPr>
          </w:p>
        </w:tc>
      </w:tr>
      <w:tr w14:paraId="7BBF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167B9C8">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666B9DF9">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44466079">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6B305FE4">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0FF7F353">
            <w:pPr>
              <w:tabs>
                <w:tab w:val="left" w:pos="6300"/>
              </w:tabs>
              <w:snapToGrid w:val="0"/>
              <w:spacing w:line="380" w:lineRule="exact"/>
              <w:jc w:val="center"/>
              <w:outlineLvl w:val="0"/>
              <w:rPr>
                <w:rFonts w:ascii="微软雅黑" w:hAnsi="微软雅黑" w:eastAsia="微软雅黑" w:cs="微软雅黑"/>
                <w:szCs w:val="21"/>
              </w:rPr>
            </w:pPr>
          </w:p>
        </w:tc>
      </w:tr>
      <w:tr w14:paraId="51A0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8A39D3D">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12DA40D1">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6676162D">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393C12CB">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57B0E6E9">
            <w:pPr>
              <w:tabs>
                <w:tab w:val="left" w:pos="6300"/>
              </w:tabs>
              <w:snapToGrid w:val="0"/>
              <w:spacing w:line="380" w:lineRule="exact"/>
              <w:jc w:val="center"/>
              <w:outlineLvl w:val="0"/>
              <w:rPr>
                <w:rFonts w:ascii="微软雅黑" w:hAnsi="微软雅黑" w:eastAsia="微软雅黑" w:cs="微软雅黑"/>
                <w:szCs w:val="21"/>
              </w:rPr>
            </w:pPr>
          </w:p>
        </w:tc>
      </w:tr>
    </w:tbl>
    <w:p w14:paraId="22DE3D3A">
      <w:pPr>
        <w:spacing w:line="38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供应商：                                      法人授权代表：</w:t>
      </w:r>
    </w:p>
    <w:p w14:paraId="7A4528E2">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    </w:t>
      </w:r>
    </w:p>
    <w:p w14:paraId="12DBF871">
      <w:pPr>
        <w:spacing w:line="380" w:lineRule="exact"/>
        <w:ind w:firstLine="630" w:firstLineChars="300"/>
        <w:rPr>
          <w:rFonts w:ascii="微软雅黑" w:hAnsi="微软雅黑" w:eastAsia="微软雅黑" w:cs="微软雅黑"/>
          <w:szCs w:val="21"/>
        </w:rPr>
      </w:pPr>
      <w:r>
        <w:rPr>
          <w:rFonts w:hint="eastAsia" w:ascii="微软雅黑" w:hAnsi="微软雅黑" w:eastAsia="微软雅黑" w:cs="微软雅黑"/>
          <w:szCs w:val="21"/>
        </w:rPr>
        <w:t>（供应商公章）                               （签字或盖章）</w:t>
      </w:r>
    </w:p>
    <w:p w14:paraId="7FF4BC71">
      <w:pPr>
        <w:tabs>
          <w:tab w:val="left" w:pos="6300"/>
        </w:tabs>
        <w:snapToGrid w:val="0"/>
        <w:spacing w:line="380" w:lineRule="exact"/>
        <w:ind w:firstLine="570"/>
        <w:rPr>
          <w:rFonts w:ascii="微软雅黑" w:hAnsi="微软雅黑" w:eastAsia="微软雅黑" w:cs="微软雅黑"/>
          <w:szCs w:val="21"/>
        </w:rPr>
      </w:pPr>
      <w:r>
        <w:rPr>
          <w:rFonts w:hint="eastAsia" w:ascii="微软雅黑" w:hAnsi="微软雅黑" w:eastAsia="微软雅黑" w:cs="微软雅黑"/>
          <w:szCs w:val="21"/>
        </w:rPr>
        <w:t xml:space="preserve">                                              年     月     日</w:t>
      </w:r>
    </w:p>
    <w:p w14:paraId="3E94EFC8">
      <w:pPr>
        <w:numPr>
          <w:ilvl w:val="0"/>
          <w:numId w:val="12"/>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“采购文件规定的技术和服务要求”应与招标文件中采购需求的“技术和服务要求”的内容保持一致。</w:t>
      </w:r>
    </w:p>
    <w:p w14:paraId="13D163C7">
      <w:pPr>
        <w:numPr>
          <w:ilvl w:val="0"/>
          <w:numId w:val="12"/>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590809D">
      <w:pPr>
        <w:numPr>
          <w:ilvl w:val="0"/>
          <w:numId w:val="12"/>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“是否偏离”项下应按下列规定填写：优于的，填写“正偏离”；符合的，填写“无偏离”；低于的，填写“负偏离”。</w:t>
      </w:r>
    </w:p>
    <w:p w14:paraId="3A7506BC">
      <w:pPr>
        <w:numPr>
          <w:ilvl w:val="0"/>
          <w:numId w:val="12"/>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“备注”处可填写偏离情况的说明。</w:t>
      </w:r>
    </w:p>
    <w:p w14:paraId="07DE59F0">
      <w:pPr>
        <w:widowControl/>
        <w:jc w:val="left"/>
        <w:rPr>
          <w:rFonts w:ascii="微软雅黑" w:hAnsi="微软雅黑" w:eastAsia="微软雅黑" w:cs="微软雅黑"/>
          <w:szCs w:val="21"/>
        </w:rPr>
      </w:pPr>
      <w:r>
        <w:rPr>
          <w:rFonts w:hint="eastAsia" w:ascii="微软雅黑" w:hAnsi="微软雅黑" w:eastAsia="微软雅黑" w:cs="微软雅黑"/>
          <w:szCs w:val="21"/>
        </w:rPr>
        <w:br w:type="page"/>
      </w:r>
    </w:p>
    <w:p w14:paraId="1EDAFF86">
      <w:pPr>
        <w:pStyle w:val="4"/>
        <w:numPr>
          <w:ilvl w:val="2"/>
          <w:numId w:val="0"/>
        </w:numPr>
        <w:spacing w:line="380" w:lineRule="exact"/>
        <w:ind w:firstLine="2311" w:firstLineChars="1100"/>
        <w:rPr>
          <w:rFonts w:ascii="微软雅黑" w:hAnsi="微软雅黑" w:eastAsia="微软雅黑" w:cs="微软雅黑"/>
          <w:sz w:val="21"/>
          <w:szCs w:val="21"/>
        </w:rPr>
      </w:pPr>
      <w:r>
        <w:rPr>
          <w:rFonts w:hint="eastAsia" w:ascii="微软雅黑" w:hAnsi="微软雅黑" w:eastAsia="微软雅黑" w:cs="微软雅黑"/>
          <w:sz w:val="21"/>
          <w:szCs w:val="21"/>
        </w:rPr>
        <w:t>七、商务响应偏离表</w:t>
      </w:r>
    </w:p>
    <w:p w14:paraId="306625DE">
      <w:pPr>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E51902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OL221az&#10;AQAAdgMAAA4AAAAAAAAAAQAgAAAAHgEAAGRycy9lMm9Eb2MueG1sUEsFBgAAAAAGAAYAWQEAAEMF&#10;AAAAAA==&#10;">
                <v:fill on="f" focussize="0,0"/>
                <v:stroke on="f"/>
                <v:imagedata o:title=""/>
                <o:lock v:ext="edit" aspectratio="t"/>
                <v:textbox>
                  <w:txbxContent>
                    <w:p w14:paraId="6E519021"/>
                  </w:txbxContent>
                </v:textbox>
                <w10:wrap type="none"/>
                <w10:anchorlock/>
              </v:rect>
            </w:pict>
          </mc:Fallback>
        </mc:AlternateContent>
      </w:r>
      <w:r>
        <w:rPr>
          <w:rFonts w:hint="eastAsia" w:ascii="微软雅黑" w:hAnsi="微软雅黑" w:eastAsia="微软雅黑" w:cs="微软雅黑"/>
          <w:szCs w:val="21"/>
          <w:u w:val="single"/>
        </w:rPr>
        <w:t xml:space="preserve"> 丹阳市人民医院终端安全和准入控制系统采购项目</w:t>
      </w:r>
    </w:p>
    <w:tbl>
      <w:tblPr>
        <w:tblStyle w:val="18"/>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590E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47269196">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序号</w:t>
            </w:r>
          </w:p>
        </w:tc>
        <w:tc>
          <w:tcPr>
            <w:tcW w:w="2400" w:type="dxa"/>
            <w:vAlign w:val="center"/>
          </w:tcPr>
          <w:p w14:paraId="67ED6260">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采购文件规定的商务条件</w:t>
            </w:r>
          </w:p>
        </w:tc>
        <w:tc>
          <w:tcPr>
            <w:tcW w:w="2600" w:type="dxa"/>
            <w:vAlign w:val="center"/>
          </w:tcPr>
          <w:p w14:paraId="79FAEA19">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投标文件响应的具体内容</w:t>
            </w:r>
          </w:p>
        </w:tc>
        <w:tc>
          <w:tcPr>
            <w:tcW w:w="1275" w:type="dxa"/>
            <w:vAlign w:val="center"/>
          </w:tcPr>
          <w:p w14:paraId="3E4F6D6F">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是否偏离</w:t>
            </w:r>
          </w:p>
        </w:tc>
        <w:tc>
          <w:tcPr>
            <w:tcW w:w="1275" w:type="dxa"/>
            <w:vAlign w:val="center"/>
          </w:tcPr>
          <w:p w14:paraId="41462547">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备注</w:t>
            </w:r>
          </w:p>
        </w:tc>
      </w:tr>
      <w:tr w14:paraId="7981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1A4A858">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6E78875D">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64FB9B1D">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505DD2AE">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3A05C007">
            <w:pPr>
              <w:tabs>
                <w:tab w:val="left" w:pos="6300"/>
              </w:tabs>
              <w:snapToGrid w:val="0"/>
              <w:spacing w:line="380" w:lineRule="exact"/>
              <w:jc w:val="center"/>
              <w:outlineLvl w:val="0"/>
              <w:rPr>
                <w:rFonts w:ascii="微软雅黑" w:hAnsi="微软雅黑" w:eastAsia="微软雅黑" w:cs="微软雅黑"/>
                <w:szCs w:val="21"/>
              </w:rPr>
            </w:pPr>
          </w:p>
        </w:tc>
      </w:tr>
      <w:tr w14:paraId="24D6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C118065">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45650889">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724D20F9">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5CAA56E7">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5E4F0A9D">
            <w:pPr>
              <w:tabs>
                <w:tab w:val="left" w:pos="6300"/>
              </w:tabs>
              <w:snapToGrid w:val="0"/>
              <w:spacing w:line="380" w:lineRule="exact"/>
              <w:jc w:val="center"/>
              <w:outlineLvl w:val="0"/>
              <w:rPr>
                <w:rFonts w:ascii="微软雅黑" w:hAnsi="微软雅黑" w:eastAsia="微软雅黑" w:cs="微软雅黑"/>
                <w:szCs w:val="21"/>
              </w:rPr>
            </w:pPr>
          </w:p>
        </w:tc>
      </w:tr>
      <w:tr w14:paraId="4E9C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7C7A1F7">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093402C9">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67A22DD4">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1E4D9DF0">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6C316B88">
            <w:pPr>
              <w:tabs>
                <w:tab w:val="left" w:pos="6300"/>
              </w:tabs>
              <w:snapToGrid w:val="0"/>
              <w:spacing w:line="380" w:lineRule="exact"/>
              <w:jc w:val="center"/>
              <w:outlineLvl w:val="0"/>
              <w:rPr>
                <w:rFonts w:ascii="微软雅黑" w:hAnsi="微软雅黑" w:eastAsia="微软雅黑" w:cs="微软雅黑"/>
                <w:szCs w:val="21"/>
              </w:rPr>
            </w:pPr>
          </w:p>
        </w:tc>
      </w:tr>
      <w:tr w14:paraId="6A3E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3893FC9">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27C99BA0">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0699D523">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2E6550E6">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415AD3C3">
            <w:pPr>
              <w:tabs>
                <w:tab w:val="left" w:pos="6300"/>
              </w:tabs>
              <w:snapToGrid w:val="0"/>
              <w:spacing w:line="380" w:lineRule="exact"/>
              <w:jc w:val="center"/>
              <w:outlineLvl w:val="0"/>
              <w:rPr>
                <w:rFonts w:ascii="微软雅黑" w:hAnsi="微软雅黑" w:eastAsia="微软雅黑" w:cs="微软雅黑"/>
                <w:szCs w:val="21"/>
              </w:rPr>
            </w:pPr>
          </w:p>
        </w:tc>
      </w:tr>
      <w:tr w14:paraId="64A3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530D737">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413E6A9C">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4B865318">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65DA19C3">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17C45D3A">
            <w:pPr>
              <w:tabs>
                <w:tab w:val="left" w:pos="6300"/>
              </w:tabs>
              <w:snapToGrid w:val="0"/>
              <w:spacing w:line="380" w:lineRule="exact"/>
              <w:jc w:val="center"/>
              <w:outlineLvl w:val="0"/>
              <w:rPr>
                <w:rFonts w:ascii="微软雅黑" w:hAnsi="微软雅黑" w:eastAsia="微软雅黑" w:cs="微软雅黑"/>
                <w:szCs w:val="21"/>
              </w:rPr>
            </w:pPr>
          </w:p>
        </w:tc>
      </w:tr>
      <w:tr w14:paraId="7B94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6361B53">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5BF326DC">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0EDB6E69">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7248A027">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51E219A2">
            <w:pPr>
              <w:tabs>
                <w:tab w:val="left" w:pos="6300"/>
              </w:tabs>
              <w:snapToGrid w:val="0"/>
              <w:spacing w:line="380" w:lineRule="exact"/>
              <w:jc w:val="center"/>
              <w:outlineLvl w:val="0"/>
              <w:rPr>
                <w:rFonts w:ascii="微软雅黑" w:hAnsi="微软雅黑" w:eastAsia="微软雅黑" w:cs="微软雅黑"/>
                <w:szCs w:val="21"/>
              </w:rPr>
            </w:pPr>
          </w:p>
        </w:tc>
      </w:tr>
    </w:tbl>
    <w:p w14:paraId="706EE36D">
      <w:pPr>
        <w:snapToGrid w:val="0"/>
        <w:spacing w:line="380" w:lineRule="exact"/>
        <w:ind w:firstLine="465"/>
        <w:rPr>
          <w:rFonts w:ascii="微软雅黑" w:hAnsi="微软雅黑" w:eastAsia="微软雅黑" w:cs="微软雅黑"/>
          <w:szCs w:val="21"/>
        </w:rPr>
      </w:pPr>
    </w:p>
    <w:p w14:paraId="7B7FAF6A">
      <w:pPr>
        <w:spacing w:line="38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供应商：                                      法人授权代表：</w:t>
      </w:r>
    </w:p>
    <w:p w14:paraId="01C86BCE">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    </w:t>
      </w:r>
    </w:p>
    <w:p w14:paraId="07F4D3EA">
      <w:pPr>
        <w:spacing w:line="380" w:lineRule="exact"/>
        <w:ind w:firstLine="315" w:firstLineChars="150"/>
        <w:rPr>
          <w:rFonts w:ascii="微软雅黑" w:hAnsi="微软雅黑" w:eastAsia="微软雅黑" w:cs="微软雅黑"/>
          <w:szCs w:val="21"/>
        </w:rPr>
      </w:pPr>
      <w:r>
        <w:rPr>
          <w:rFonts w:hint="eastAsia" w:ascii="微软雅黑" w:hAnsi="微软雅黑" w:eastAsia="微软雅黑" w:cs="微软雅黑"/>
          <w:szCs w:val="21"/>
        </w:rPr>
        <w:t>（供应商公章）                                 （签字或盖章）</w:t>
      </w:r>
    </w:p>
    <w:p w14:paraId="086BFBCF">
      <w:pPr>
        <w:tabs>
          <w:tab w:val="left" w:pos="6300"/>
        </w:tabs>
        <w:snapToGrid w:val="0"/>
        <w:spacing w:line="380" w:lineRule="exact"/>
        <w:ind w:firstLine="570"/>
        <w:rPr>
          <w:rFonts w:ascii="微软雅黑" w:hAnsi="微软雅黑" w:eastAsia="微软雅黑" w:cs="微软雅黑"/>
          <w:szCs w:val="21"/>
        </w:rPr>
      </w:pPr>
      <w:r>
        <w:rPr>
          <w:rFonts w:hint="eastAsia" w:ascii="微软雅黑" w:hAnsi="微软雅黑" w:eastAsia="微软雅黑" w:cs="微软雅黑"/>
          <w:szCs w:val="21"/>
        </w:rPr>
        <w:t xml:space="preserve">                                            年     月     日</w:t>
      </w:r>
    </w:p>
    <w:p w14:paraId="7FE538F4">
      <w:p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1. “采购文件规定的商务条件”项下填写的内容应与招标文件中采购需求的 “商务要求”的内容保持一致。</w:t>
      </w:r>
    </w:p>
    <w:p w14:paraId="2BC9C875">
      <w:p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2.</w:t>
      </w:r>
      <w:r>
        <w:rPr>
          <w:rFonts w:hint="eastAsia" w:ascii="微软雅黑" w:hAnsi="微软雅黑" w:eastAsia="微软雅黑" w:cs="微软雅黑"/>
          <w:szCs w:val="21"/>
        </w:rPr>
        <w:tab/>
      </w:r>
      <w:r>
        <w:rPr>
          <w:rFonts w:hint="eastAsia" w:ascii="微软雅黑" w:hAnsi="微软雅黑" w:eastAsia="微软雅黑" w:cs="微软雅黑"/>
          <w:szCs w:val="21"/>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7577FE95">
      <w:pPr>
        <w:spacing w:line="380" w:lineRule="exact"/>
        <w:ind w:left="480"/>
        <w:rPr>
          <w:rFonts w:ascii="微软雅黑" w:hAnsi="微软雅黑" w:eastAsia="微软雅黑" w:cs="微软雅黑"/>
          <w:szCs w:val="21"/>
        </w:rPr>
      </w:pPr>
      <w:r>
        <w:rPr>
          <w:rFonts w:hint="eastAsia" w:ascii="微软雅黑" w:hAnsi="微软雅黑" w:eastAsia="微软雅黑" w:cs="微软雅黑"/>
          <w:szCs w:val="21"/>
        </w:rPr>
        <w:t>3. “是否偏离”项下应按下列规定填写：优于的，填写“正偏离”；符合的，填写“无偏离”；低于的，填写“负偏离”。</w:t>
      </w:r>
    </w:p>
    <w:p w14:paraId="2F23B337">
      <w:pPr>
        <w:spacing w:line="380" w:lineRule="exact"/>
        <w:ind w:left="480"/>
        <w:rPr>
          <w:rFonts w:ascii="微软雅黑" w:hAnsi="微软雅黑" w:eastAsia="微软雅黑" w:cs="微软雅黑"/>
          <w:szCs w:val="21"/>
        </w:rPr>
      </w:pPr>
      <w:r>
        <w:rPr>
          <w:rFonts w:hint="eastAsia" w:ascii="微软雅黑" w:hAnsi="微软雅黑" w:eastAsia="微软雅黑" w:cs="微软雅黑"/>
          <w:szCs w:val="21"/>
        </w:rPr>
        <w:t>4. “备注”处可填写偏离情况的说明。</w:t>
      </w:r>
    </w:p>
    <w:p w14:paraId="5BAA071E">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                     </w:t>
      </w:r>
    </w:p>
    <w:p w14:paraId="2492DA14">
      <w:pPr>
        <w:spacing w:line="380" w:lineRule="exact"/>
        <w:rPr>
          <w:rFonts w:ascii="微软雅黑" w:hAnsi="微软雅黑" w:eastAsia="微软雅黑" w:cs="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AE628">
    <w:pPr>
      <w:spacing w:line="181" w:lineRule="auto"/>
      <w:ind w:left="4479"/>
      <w:rPr>
        <w:rFonts w:ascii="宋体" w:hAnsi="宋体" w:eastAsia="宋体" w:cs="宋体"/>
        <w:sz w:val="14"/>
        <w:szCs w:val="14"/>
      </w:rPr>
    </w:pPr>
    <w:r>
      <w:rPr>
        <w:rFonts w:ascii="宋体" w:hAnsi="宋体" w:eastAsia="宋体" w:cs="宋体"/>
        <w:sz w:val="14"/>
        <w:szCs w:val="14"/>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A6DA">
    <w:pPr>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B7A0B6E1"/>
    <w:multiLevelType w:val="singleLevel"/>
    <w:tmpl w:val="B7A0B6E1"/>
    <w:lvl w:ilvl="0" w:tentative="0">
      <w:start w:val="2"/>
      <w:numFmt w:val="decimal"/>
      <w:lvlText w:val="%1."/>
      <w:lvlJc w:val="left"/>
      <w:pPr>
        <w:tabs>
          <w:tab w:val="left" w:pos="312"/>
        </w:tabs>
      </w:pPr>
    </w:lvl>
  </w:abstractNum>
  <w:abstractNum w:abstractNumId="3">
    <w:nsid w:val="BB7D142B"/>
    <w:multiLevelType w:val="singleLevel"/>
    <w:tmpl w:val="BB7D142B"/>
    <w:lvl w:ilvl="0" w:tentative="0">
      <w:start w:val="1"/>
      <w:numFmt w:val="decimal"/>
      <w:suff w:val="nothing"/>
      <w:lvlText w:val="%1）"/>
      <w:lvlJc w:val="left"/>
    </w:lvl>
  </w:abstractNum>
  <w:abstractNum w:abstractNumId="4">
    <w:nsid w:val="FF84BE75"/>
    <w:multiLevelType w:val="singleLevel"/>
    <w:tmpl w:val="FF84BE75"/>
    <w:lvl w:ilvl="0" w:tentative="0">
      <w:start w:val="1"/>
      <w:numFmt w:val="chineseCounting"/>
      <w:suff w:val="nothing"/>
      <w:lvlText w:val="%1、"/>
      <w:lvlJc w:val="left"/>
      <w:rPr>
        <w:rFonts w:hint="eastAsia"/>
      </w:rPr>
    </w:lvl>
  </w:abstractNum>
  <w:abstractNum w:abstractNumId="5">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C081A06"/>
    <w:multiLevelType w:val="singleLevel"/>
    <w:tmpl w:val="0C081A06"/>
    <w:lvl w:ilvl="0" w:tentative="0">
      <w:start w:val="6"/>
      <w:numFmt w:val="chineseCounting"/>
      <w:suff w:val="nothing"/>
      <w:lvlText w:val="%1、"/>
      <w:lvlJc w:val="left"/>
      <w:rPr>
        <w:rFonts w:hint="eastAsia"/>
      </w:rPr>
    </w:lvl>
  </w:abstractNum>
  <w:abstractNum w:abstractNumId="7">
    <w:nsid w:val="0CC03E36"/>
    <w:multiLevelType w:val="singleLevel"/>
    <w:tmpl w:val="0CC03E36"/>
    <w:lvl w:ilvl="0" w:tentative="0">
      <w:start w:val="1"/>
      <w:numFmt w:val="decimal"/>
      <w:lvlText w:val="%1."/>
      <w:lvlJc w:val="left"/>
      <w:pPr>
        <w:tabs>
          <w:tab w:val="left" w:pos="312"/>
        </w:tabs>
      </w:pPr>
    </w:lvl>
  </w:abstractNum>
  <w:abstractNum w:abstractNumId="8">
    <w:nsid w:val="14121203"/>
    <w:multiLevelType w:val="singleLevel"/>
    <w:tmpl w:val="14121203"/>
    <w:lvl w:ilvl="0" w:tentative="0">
      <w:start w:val="1"/>
      <w:numFmt w:val="decimal"/>
      <w:suff w:val="nothing"/>
      <w:lvlText w:val="%1、"/>
      <w:lvlJc w:val="left"/>
    </w:lvl>
  </w:abstractNum>
  <w:abstractNum w:abstractNumId="9">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0">
    <w:nsid w:val="36BA0C7C"/>
    <w:multiLevelType w:val="singleLevel"/>
    <w:tmpl w:val="36BA0C7C"/>
    <w:lvl w:ilvl="0" w:tentative="0">
      <w:start w:val="1"/>
      <w:numFmt w:val="decimal"/>
      <w:suff w:val="nothing"/>
      <w:lvlText w:val="%1．"/>
      <w:lvlJc w:val="left"/>
    </w:lvl>
  </w:abstractNum>
  <w:abstractNum w:abstractNumId="11">
    <w:nsid w:val="56F2F61F"/>
    <w:multiLevelType w:val="singleLevel"/>
    <w:tmpl w:val="56F2F61F"/>
    <w:lvl w:ilvl="0" w:tentative="0">
      <w:start w:val="1"/>
      <w:numFmt w:val="decimal"/>
      <w:lvlText w:val="%1."/>
      <w:lvlJc w:val="left"/>
      <w:pPr>
        <w:tabs>
          <w:tab w:val="left" w:pos="312"/>
        </w:tabs>
      </w:pPr>
    </w:lvl>
  </w:abstractNum>
  <w:num w:numId="1">
    <w:abstractNumId w:val="5"/>
  </w:num>
  <w:num w:numId="2">
    <w:abstractNumId w:val="0"/>
  </w:num>
  <w:num w:numId="3">
    <w:abstractNumId w:val="4"/>
  </w:num>
  <w:num w:numId="4">
    <w:abstractNumId w:val="2"/>
  </w:num>
  <w:num w:numId="5">
    <w:abstractNumId w:val="11"/>
  </w:num>
  <w:num w:numId="6">
    <w:abstractNumId w:val="10"/>
  </w:num>
  <w:num w:numId="7">
    <w:abstractNumId w:val="6"/>
  </w:num>
  <w:num w:numId="8">
    <w:abstractNumId w:val="3"/>
  </w:num>
  <w:num w:numId="9">
    <w:abstractNumId w:val="8"/>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0606F3"/>
    <w:rsid w:val="0004738A"/>
    <w:rsid w:val="000B626C"/>
    <w:rsid w:val="000C126F"/>
    <w:rsid w:val="000C3C2E"/>
    <w:rsid w:val="000E239F"/>
    <w:rsid w:val="001346D7"/>
    <w:rsid w:val="001613B5"/>
    <w:rsid w:val="00175F8B"/>
    <w:rsid w:val="001C3F3A"/>
    <w:rsid w:val="00206401"/>
    <w:rsid w:val="00292375"/>
    <w:rsid w:val="002C0DD8"/>
    <w:rsid w:val="002C6E81"/>
    <w:rsid w:val="00340CD2"/>
    <w:rsid w:val="00346F4F"/>
    <w:rsid w:val="003A216D"/>
    <w:rsid w:val="003E216E"/>
    <w:rsid w:val="00412316"/>
    <w:rsid w:val="004634D9"/>
    <w:rsid w:val="00475DBA"/>
    <w:rsid w:val="00476247"/>
    <w:rsid w:val="0048383D"/>
    <w:rsid w:val="004A350C"/>
    <w:rsid w:val="004B5B2E"/>
    <w:rsid w:val="004C4C0A"/>
    <w:rsid w:val="004D1D64"/>
    <w:rsid w:val="004D1EC3"/>
    <w:rsid w:val="004F24EB"/>
    <w:rsid w:val="00595A00"/>
    <w:rsid w:val="005F4502"/>
    <w:rsid w:val="00613280"/>
    <w:rsid w:val="00622028"/>
    <w:rsid w:val="00635B63"/>
    <w:rsid w:val="00682302"/>
    <w:rsid w:val="006D2E40"/>
    <w:rsid w:val="007172B7"/>
    <w:rsid w:val="007642BC"/>
    <w:rsid w:val="00767604"/>
    <w:rsid w:val="0078642F"/>
    <w:rsid w:val="007D0E75"/>
    <w:rsid w:val="007D4E54"/>
    <w:rsid w:val="00816622"/>
    <w:rsid w:val="008547C9"/>
    <w:rsid w:val="0089209F"/>
    <w:rsid w:val="008A6F27"/>
    <w:rsid w:val="008C2559"/>
    <w:rsid w:val="00922654"/>
    <w:rsid w:val="00933532"/>
    <w:rsid w:val="009448D6"/>
    <w:rsid w:val="0096422B"/>
    <w:rsid w:val="009C3652"/>
    <w:rsid w:val="009F6ED5"/>
    <w:rsid w:val="00A042DC"/>
    <w:rsid w:val="00A43B99"/>
    <w:rsid w:val="00A43FED"/>
    <w:rsid w:val="00A63D88"/>
    <w:rsid w:val="00A866E5"/>
    <w:rsid w:val="00AA03DF"/>
    <w:rsid w:val="00AC4A11"/>
    <w:rsid w:val="00AF4583"/>
    <w:rsid w:val="00AF4659"/>
    <w:rsid w:val="00B236CF"/>
    <w:rsid w:val="00B60225"/>
    <w:rsid w:val="00B6318E"/>
    <w:rsid w:val="00B77905"/>
    <w:rsid w:val="00B91032"/>
    <w:rsid w:val="00B97F75"/>
    <w:rsid w:val="00BB4765"/>
    <w:rsid w:val="00BF1E20"/>
    <w:rsid w:val="00C069BB"/>
    <w:rsid w:val="00C47462"/>
    <w:rsid w:val="00C71D39"/>
    <w:rsid w:val="00C76D7F"/>
    <w:rsid w:val="00C8531D"/>
    <w:rsid w:val="00CC77AB"/>
    <w:rsid w:val="00D14680"/>
    <w:rsid w:val="00DB6B18"/>
    <w:rsid w:val="00E22D92"/>
    <w:rsid w:val="00E33DE4"/>
    <w:rsid w:val="00E51C69"/>
    <w:rsid w:val="00EB4CE0"/>
    <w:rsid w:val="00EC62D4"/>
    <w:rsid w:val="00EE4C3C"/>
    <w:rsid w:val="00F13B12"/>
    <w:rsid w:val="00F3063E"/>
    <w:rsid w:val="00F36FF4"/>
    <w:rsid w:val="00F45817"/>
    <w:rsid w:val="00FC1FCB"/>
    <w:rsid w:val="026A2BB1"/>
    <w:rsid w:val="046274E3"/>
    <w:rsid w:val="056C223A"/>
    <w:rsid w:val="073F5B9D"/>
    <w:rsid w:val="093B2061"/>
    <w:rsid w:val="0C9C3443"/>
    <w:rsid w:val="133D7572"/>
    <w:rsid w:val="13F01595"/>
    <w:rsid w:val="14E9614B"/>
    <w:rsid w:val="19337FE2"/>
    <w:rsid w:val="1A2B2530"/>
    <w:rsid w:val="1AB115DF"/>
    <w:rsid w:val="1AB96A11"/>
    <w:rsid w:val="203C405E"/>
    <w:rsid w:val="25862ED5"/>
    <w:rsid w:val="29915494"/>
    <w:rsid w:val="2F8A58D8"/>
    <w:rsid w:val="30DC2385"/>
    <w:rsid w:val="32686F2D"/>
    <w:rsid w:val="32752262"/>
    <w:rsid w:val="34EF5785"/>
    <w:rsid w:val="380F5607"/>
    <w:rsid w:val="393E69E6"/>
    <w:rsid w:val="3C670B87"/>
    <w:rsid w:val="3DB450CF"/>
    <w:rsid w:val="3EEF60C1"/>
    <w:rsid w:val="3F442E72"/>
    <w:rsid w:val="41492C82"/>
    <w:rsid w:val="4982076E"/>
    <w:rsid w:val="4B192C5C"/>
    <w:rsid w:val="4E92282F"/>
    <w:rsid w:val="4F4A7AC4"/>
    <w:rsid w:val="556B7DD8"/>
    <w:rsid w:val="58433AF2"/>
    <w:rsid w:val="5BE95D74"/>
    <w:rsid w:val="607268A4"/>
    <w:rsid w:val="65D3640F"/>
    <w:rsid w:val="68E3725D"/>
    <w:rsid w:val="6E0606F3"/>
    <w:rsid w:val="6F481FCD"/>
    <w:rsid w:val="6F530729"/>
    <w:rsid w:val="70D2103A"/>
    <w:rsid w:val="74376F5F"/>
    <w:rsid w:val="7D00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4"/>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7"/>
    <w:unhideWhenUsed/>
    <w:qFormat/>
    <w:uiPriority w:val="9"/>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link w:val="35"/>
    <w:unhideWhenUsed/>
    <w:qFormat/>
    <w:uiPriority w:val="0"/>
    <w:pPr>
      <w:keepNext/>
      <w:keepLines/>
      <w:numPr>
        <w:ilvl w:val="2"/>
        <w:numId w:val="2"/>
      </w:numPr>
      <w:spacing w:before="20" w:after="20"/>
      <w:outlineLvl w:val="2"/>
    </w:pPr>
    <w:rPr>
      <w:b/>
      <w:sz w:val="28"/>
    </w:rPr>
  </w:style>
  <w:style w:type="paragraph" w:styleId="5">
    <w:name w:val="heading 4"/>
    <w:basedOn w:val="1"/>
    <w:next w:val="1"/>
    <w:link w:val="33"/>
    <w:unhideWhenUsed/>
    <w:qFormat/>
    <w:uiPriority w:val="0"/>
    <w:pPr>
      <w:keepNext/>
      <w:keepLines/>
      <w:outlineLvl w:val="3"/>
    </w:pPr>
    <w:rPr>
      <w:rFonts w:ascii="Arial" w:hAnsi="Arial" w:eastAsia="微软雅黑" w:cs="Times New Roman"/>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rFonts w:ascii="Times New Roman" w:hAnsi="Times New Roman" w:eastAsia="宋体" w:cs="Times New Roman"/>
      <w:szCs w:val="20"/>
    </w:rPr>
  </w:style>
  <w:style w:type="paragraph" w:styleId="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8">
    <w:name w:val="annotation text"/>
    <w:basedOn w:val="1"/>
    <w:link w:val="64"/>
    <w:qFormat/>
    <w:uiPriority w:val="0"/>
    <w:pPr>
      <w:jc w:val="left"/>
    </w:pPr>
  </w:style>
  <w:style w:type="paragraph" w:styleId="9">
    <w:name w:val="Body Text"/>
    <w:basedOn w:val="1"/>
    <w:next w:val="10"/>
    <w:link w:val="36"/>
    <w:qFormat/>
    <w:uiPriority w:val="0"/>
    <w:rPr>
      <w:rFonts w:ascii="楷体_GB2312" w:hAnsi="Arial" w:eastAsia="楷体_GB2312"/>
      <w:sz w:val="28"/>
      <w:szCs w:val="28"/>
    </w:rPr>
  </w:style>
  <w:style w:type="paragraph" w:styleId="10">
    <w:name w:val="Body Text First Indent"/>
    <w:basedOn w:val="9"/>
    <w:unhideWhenUsed/>
    <w:qFormat/>
    <w:uiPriority w:val="99"/>
    <w:pPr>
      <w:spacing w:after="120"/>
      <w:ind w:firstLine="420" w:firstLineChars="100"/>
    </w:pPr>
    <w:rPr>
      <w:rFonts w:ascii="Times New Roman" w:hAnsi="Times New Roman"/>
      <w:szCs w:val="21"/>
    </w:rPr>
  </w:style>
  <w:style w:type="paragraph" w:styleId="11">
    <w:name w:val="Body Text Indent"/>
    <w:basedOn w:val="1"/>
    <w:next w:val="12"/>
    <w:link w:val="37"/>
    <w:unhideWhenUsed/>
    <w:qFormat/>
    <w:uiPriority w:val="0"/>
    <w:pPr>
      <w:spacing w:after="120"/>
      <w:ind w:left="420"/>
    </w:pPr>
  </w:style>
  <w:style w:type="paragraph" w:styleId="12">
    <w:name w:val="envelope return"/>
    <w:basedOn w:val="1"/>
    <w:qFormat/>
    <w:uiPriority w:val="0"/>
    <w:pPr>
      <w:snapToGrid w:val="0"/>
    </w:pPr>
    <w:rPr>
      <w:rFonts w:ascii="Arial" w:hAnsi="Arial"/>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next w:val="7"/>
    <w:link w:val="65"/>
    <w:qFormat/>
    <w:uiPriority w:val="0"/>
    <w:pPr>
      <w:spacing w:line="360" w:lineRule="auto"/>
      <w:ind w:firstLine="617" w:firstLineChars="257"/>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7">
    <w:name w:val="Body Text First Indent 2"/>
    <w:basedOn w:val="11"/>
    <w:next w:val="15"/>
    <w:link w:val="38"/>
    <w:unhideWhenUsed/>
    <w:qFormat/>
    <w:uiPriority w:val="0"/>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FollowedHyperlink"/>
    <w:basedOn w:val="20"/>
    <w:unhideWhenUsed/>
    <w:qFormat/>
    <w:uiPriority w:val="99"/>
    <w:rPr>
      <w:color w:val="954F72"/>
      <w:u w:val="single"/>
    </w:rPr>
  </w:style>
  <w:style w:type="character" w:styleId="23">
    <w:name w:val="Hyperlink"/>
    <w:basedOn w:val="20"/>
    <w:unhideWhenUsed/>
    <w:qFormat/>
    <w:uiPriority w:val="99"/>
    <w:rPr>
      <w:color w:val="0563C1"/>
      <w:u w:val="single"/>
    </w:rPr>
  </w:style>
  <w:style w:type="paragraph" w:styleId="24">
    <w:name w:val="List Paragraph"/>
    <w:basedOn w:val="1"/>
    <w:qFormat/>
    <w:uiPriority w:val="34"/>
    <w:pPr>
      <w:ind w:left="760" w:firstLine="480"/>
    </w:pPr>
  </w:style>
  <w:style w:type="paragraph" w:customStyle="1" w:styleId="25">
    <w:name w:val="Table Paragraph"/>
    <w:basedOn w:val="1"/>
    <w:qFormat/>
    <w:uiPriority w:val="1"/>
    <w:pPr>
      <w:jc w:val="left"/>
    </w:pPr>
    <w:rPr>
      <w:rFonts w:ascii="Calibri" w:hAnsi="Calibri" w:eastAsia="宋体" w:cs="黑体"/>
      <w:kern w:val="0"/>
      <w:sz w:val="22"/>
      <w:lang w:eastAsia="en-US"/>
    </w:rPr>
  </w:style>
  <w:style w:type="paragraph" w:customStyle="1" w:styleId="26">
    <w:name w:val="正文（缩进）"/>
    <w:basedOn w:val="1"/>
    <w:qFormat/>
    <w:uiPriority w:val="0"/>
    <w:pPr>
      <w:ind w:firstLine="480" w:firstLineChars="200"/>
    </w:pPr>
  </w:style>
  <w:style w:type="character" w:customStyle="1" w:styleId="27">
    <w:name w:val="标题 2 字符"/>
    <w:link w:val="3"/>
    <w:qFormat/>
    <w:uiPriority w:val="9"/>
    <w:rPr>
      <w:rFonts w:ascii="Arial" w:hAnsi="Arial" w:eastAsia="黑体"/>
      <w:b/>
      <w:sz w:val="32"/>
      <w:szCs w:val="24"/>
    </w:rPr>
  </w:style>
  <w:style w:type="paragraph" w:customStyle="1" w:styleId="28">
    <w:name w:val="Other|1"/>
    <w:basedOn w:val="1"/>
    <w:qFormat/>
    <w:uiPriority w:val="0"/>
    <w:rPr>
      <w:rFonts w:ascii="宋体" w:hAnsi="宋体" w:cs="宋体"/>
      <w:sz w:val="15"/>
      <w:szCs w:val="15"/>
      <w:lang w:val="zh-TW" w:eastAsia="zh-TW" w:bidi="zh-TW"/>
    </w:rPr>
  </w:style>
  <w:style w:type="character" w:customStyle="1" w:styleId="29">
    <w:name w:val="font21"/>
    <w:qFormat/>
    <w:uiPriority w:val="0"/>
    <w:rPr>
      <w:rFonts w:ascii="Arial" w:hAnsi="Arial" w:cs="Arial"/>
      <w:color w:val="000000"/>
      <w:sz w:val="22"/>
      <w:szCs w:val="22"/>
      <w:u w:val="none"/>
    </w:rPr>
  </w:style>
  <w:style w:type="character" w:customStyle="1" w:styleId="30">
    <w:name w:val="font01"/>
    <w:qFormat/>
    <w:uiPriority w:val="0"/>
    <w:rPr>
      <w:rFonts w:hint="eastAsia" w:ascii="宋体" w:hAnsi="宋体" w:eastAsia="宋体" w:cs="宋体"/>
      <w:color w:val="000000"/>
      <w:sz w:val="22"/>
      <w:szCs w:val="22"/>
      <w:u w:val="none"/>
    </w:rPr>
  </w:style>
  <w:style w:type="character" w:customStyle="1" w:styleId="31">
    <w:name w:val="页眉 字符"/>
    <w:basedOn w:val="20"/>
    <w:link w:val="14"/>
    <w:qFormat/>
    <w:uiPriority w:val="99"/>
    <w:rPr>
      <w:kern w:val="2"/>
      <w:sz w:val="18"/>
      <w:szCs w:val="18"/>
    </w:rPr>
  </w:style>
  <w:style w:type="character" w:customStyle="1" w:styleId="32">
    <w:name w:val="页脚 字符"/>
    <w:basedOn w:val="20"/>
    <w:link w:val="13"/>
    <w:qFormat/>
    <w:uiPriority w:val="99"/>
    <w:rPr>
      <w:kern w:val="2"/>
      <w:sz w:val="18"/>
      <w:szCs w:val="18"/>
    </w:rPr>
  </w:style>
  <w:style w:type="character" w:customStyle="1" w:styleId="33">
    <w:name w:val="标题 4 字符"/>
    <w:basedOn w:val="20"/>
    <w:link w:val="5"/>
    <w:qFormat/>
    <w:uiPriority w:val="0"/>
    <w:rPr>
      <w:rFonts w:ascii="Arial" w:hAnsi="Arial" w:eastAsia="微软雅黑" w:cs="Times New Roman"/>
      <w:kern w:val="2"/>
      <w:sz w:val="24"/>
      <w:szCs w:val="24"/>
    </w:rPr>
  </w:style>
  <w:style w:type="character" w:customStyle="1" w:styleId="34">
    <w:name w:val="标题 1 字符"/>
    <w:basedOn w:val="20"/>
    <w:link w:val="2"/>
    <w:qFormat/>
    <w:uiPriority w:val="0"/>
    <w:rPr>
      <w:rFonts w:ascii="宋体" w:hAnsi="宋体" w:eastAsia="宋体" w:cs="Times New Roman"/>
      <w:b/>
      <w:bCs/>
      <w:kern w:val="44"/>
      <w:sz w:val="48"/>
      <w:szCs w:val="48"/>
    </w:rPr>
  </w:style>
  <w:style w:type="character" w:customStyle="1" w:styleId="35">
    <w:name w:val="标题 3 字符"/>
    <w:basedOn w:val="20"/>
    <w:link w:val="4"/>
    <w:qFormat/>
    <w:uiPriority w:val="0"/>
    <w:rPr>
      <w:b/>
      <w:kern w:val="2"/>
      <w:sz w:val="28"/>
      <w:szCs w:val="24"/>
    </w:rPr>
  </w:style>
  <w:style w:type="character" w:customStyle="1" w:styleId="36">
    <w:name w:val="正文文本 字符"/>
    <w:basedOn w:val="20"/>
    <w:link w:val="9"/>
    <w:qFormat/>
    <w:uiPriority w:val="0"/>
    <w:rPr>
      <w:rFonts w:ascii="楷体_GB2312" w:hAnsi="Arial" w:eastAsia="楷体_GB2312"/>
      <w:kern w:val="2"/>
      <w:sz w:val="28"/>
      <w:szCs w:val="28"/>
    </w:rPr>
  </w:style>
  <w:style w:type="character" w:customStyle="1" w:styleId="37">
    <w:name w:val="正文文本缩进 字符"/>
    <w:basedOn w:val="20"/>
    <w:link w:val="11"/>
    <w:qFormat/>
    <w:uiPriority w:val="0"/>
    <w:rPr>
      <w:kern w:val="2"/>
      <w:sz w:val="21"/>
      <w:szCs w:val="24"/>
    </w:rPr>
  </w:style>
  <w:style w:type="character" w:customStyle="1" w:styleId="38">
    <w:name w:val="正文首行缩进 2 字符"/>
    <w:basedOn w:val="37"/>
    <w:link w:val="17"/>
    <w:qFormat/>
    <w:uiPriority w:val="0"/>
    <w:rPr>
      <w:kern w:val="2"/>
      <w:sz w:val="21"/>
      <w:szCs w:val="24"/>
    </w:rPr>
  </w:style>
  <w:style w:type="table" w:customStyle="1" w:styleId="39">
    <w:name w:val="网格型1"/>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索引 41"/>
    <w:basedOn w:val="1"/>
    <w:next w:val="1"/>
    <w:semiHidden/>
    <w:qFormat/>
    <w:uiPriority w:val="0"/>
    <w:pPr>
      <w:ind w:left="1260"/>
    </w:pPr>
    <w:rPr>
      <w:rFonts w:ascii="Calibri" w:hAnsi="Calibri" w:eastAsia="Calibri" w:cs="宋体"/>
      <w:sz w:val="20"/>
      <w:lang w:val="zh-CN"/>
    </w:rPr>
  </w:style>
  <w:style w:type="paragraph" w:customStyle="1" w:styleId="41">
    <w:name w:val="Body text|2"/>
    <w:basedOn w:val="1"/>
    <w:qFormat/>
    <w:uiPriority w:val="0"/>
    <w:pPr>
      <w:jc w:val="center"/>
    </w:pPr>
    <w:rPr>
      <w:rFonts w:ascii="宋体" w:hAnsi="宋体" w:eastAsia="宋体" w:cs="宋体"/>
      <w:sz w:val="26"/>
      <w:szCs w:val="26"/>
      <w:lang w:val="zh-TW" w:eastAsia="zh-TW" w:bidi="zh-TW"/>
    </w:rPr>
  </w:style>
  <w:style w:type="paragraph" w:customStyle="1" w:styleId="42">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paragraph" w:customStyle="1" w:styleId="43">
    <w:name w:val="标题二、"/>
    <w:basedOn w:val="1"/>
    <w:qFormat/>
    <w:uiPriority w:val="99"/>
    <w:pPr>
      <w:spacing w:line="360" w:lineRule="auto"/>
      <w:ind w:firstLine="200" w:firstLineChars="200"/>
      <w:outlineLvl w:val="2"/>
    </w:pPr>
    <w:rPr>
      <w:rFonts w:ascii="宋体" w:hAnsi="宋体" w:eastAsia="宋体" w:cs="Times New Roman"/>
      <w:b/>
      <w:sz w:val="24"/>
      <w:szCs w:val="21"/>
    </w:rPr>
  </w:style>
  <w:style w:type="paragraph" w:customStyle="1" w:styleId="44">
    <w:name w:val="footer1"/>
    <w:basedOn w:val="1"/>
    <w:qFormat/>
    <w:uiPriority w:val="0"/>
    <w:pPr>
      <w:tabs>
        <w:tab w:val="center" w:pos="4153"/>
        <w:tab w:val="right" w:pos="8306"/>
      </w:tabs>
      <w:snapToGrid w:val="0"/>
      <w:jc w:val="left"/>
    </w:pPr>
    <w:rPr>
      <w:rFonts w:ascii="Calibri" w:hAnsi="Calibri" w:eastAsia="宋体" w:cs="Times New Roman"/>
      <w:sz w:val="18"/>
    </w:rPr>
  </w:style>
  <w:style w:type="paragraph" w:customStyle="1" w:styleId="45">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46">
    <w:name w:val="font1"/>
    <w:basedOn w:val="1"/>
    <w:qFormat/>
    <w:uiPriority w:val="0"/>
    <w:pPr>
      <w:widowControl/>
      <w:spacing w:before="100" w:beforeAutospacing="1" w:after="100" w:afterAutospacing="1"/>
      <w:jc w:val="left"/>
    </w:pPr>
    <w:rPr>
      <w:rFonts w:ascii="宋体" w:hAnsi="宋体" w:eastAsia="宋体" w:cs="宋体"/>
      <w:b/>
      <w:bCs/>
      <w:color w:val="000000"/>
      <w:kern w:val="0"/>
      <w:sz w:val="22"/>
      <w:szCs w:val="22"/>
    </w:rPr>
  </w:style>
  <w:style w:type="paragraph" w:customStyle="1" w:styleId="47">
    <w:name w:val="font2"/>
    <w:basedOn w:val="1"/>
    <w:qFormat/>
    <w:uiPriority w:val="0"/>
    <w:pPr>
      <w:widowControl/>
      <w:spacing w:before="100" w:beforeAutospacing="1" w:after="100" w:afterAutospacing="1"/>
      <w:jc w:val="left"/>
    </w:pPr>
    <w:rPr>
      <w:rFonts w:ascii="宋体" w:hAnsi="宋体" w:eastAsia="宋体" w:cs="宋体"/>
      <w:color w:val="5B9BD5"/>
      <w:kern w:val="0"/>
      <w:sz w:val="22"/>
      <w:szCs w:val="22"/>
    </w:rPr>
  </w:style>
  <w:style w:type="paragraph" w:customStyle="1" w:styleId="48">
    <w:name w:val="font3"/>
    <w:basedOn w:val="1"/>
    <w:qFormat/>
    <w:uiPriority w:val="0"/>
    <w:pPr>
      <w:widowControl/>
      <w:spacing w:before="100" w:beforeAutospacing="1" w:after="100" w:afterAutospacing="1"/>
      <w:jc w:val="left"/>
    </w:pPr>
    <w:rPr>
      <w:rFonts w:ascii="宋体" w:hAnsi="宋体" w:eastAsia="宋体" w:cs="宋体"/>
      <w:color w:val="FF0000"/>
      <w:kern w:val="0"/>
      <w:sz w:val="22"/>
      <w:szCs w:val="22"/>
    </w:rPr>
  </w:style>
  <w:style w:type="paragraph" w:customStyle="1" w:styleId="49">
    <w:name w:val="font4"/>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50">
    <w:name w:val="et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24"/>
    </w:rPr>
  </w:style>
  <w:style w:type="paragraph" w:customStyle="1" w:styleId="51">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52">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5B9BD5"/>
      <w:kern w:val="0"/>
      <w:sz w:val="24"/>
    </w:rPr>
  </w:style>
  <w:style w:type="paragraph" w:customStyle="1" w:styleId="53">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24"/>
    </w:rPr>
  </w:style>
  <w:style w:type="paragraph" w:customStyle="1" w:styleId="54">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rPr>
  </w:style>
  <w:style w:type="paragraph" w:customStyle="1" w:styleId="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5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59">
    <w:name w:val="xl68"/>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6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64">
    <w:name w:val="批注文字 字符"/>
    <w:basedOn w:val="20"/>
    <w:link w:val="8"/>
    <w:qFormat/>
    <w:uiPriority w:val="0"/>
    <w:rPr>
      <w:kern w:val="2"/>
      <w:sz w:val="21"/>
      <w:szCs w:val="24"/>
    </w:rPr>
  </w:style>
  <w:style w:type="character" w:customStyle="1" w:styleId="65">
    <w:name w:val="正文文本缩进 3 字符"/>
    <w:basedOn w:val="20"/>
    <w:link w:val="15"/>
    <w:qFormat/>
    <w:uiPriority w:val="0"/>
    <w:rPr>
      <w:kern w:val="2"/>
      <w:sz w:val="21"/>
      <w:szCs w:val="24"/>
    </w:rPr>
  </w:style>
  <w:style w:type="paragraph" w:customStyle="1" w:styleId="66">
    <w:name w:val="普通正文"/>
    <w:basedOn w:val="1"/>
    <w:qFormat/>
    <w:uiPriority w:val="0"/>
    <w:pPr>
      <w:spacing w:line="360" w:lineRule="auto"/>
      <w:ind w:firstLine="420"/>
      <w:jc w:val="left"/>
    </w:pPr>
    <w:rPr>
      <w:rFonts w:ascii="宋体" w:hAnsi="宋体"/>
      <w:szCs w:val="21"/>
    </w:rPr>
  </w:style>
  <w:style w:type="table" w:customStyle="1" w:styleId="67">
    <w:name w:val="Table Normal"/>
    <w:semiHidden/>
    <w:unhideWhenUsed/>
    <w:qFormat/>
    <w:uiPriority w:val="0"/>
    <w:pPr>
      <w:spacing w:after="160" w:line="278" w:lineRule="auto"/>
    </w:pPr>
    <w:rPr>
      <w:rFonts w:ascii="Calibri" w:hAnsi="Calibri"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36</Pages>
  <Words>17631</Words>
  <Characters>18516</Characters>
  <Lines>176</Lines>
  <Paragraphs>49</Paragraphs>
  <TotalTime>1020</TotalTime>
  <ScaleCrop>false</ScaleCrop>
  <LinksUpToDate>false</LinksUpToDate>
  <CharactersWithSpaces>18801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2025-05-08T08:44:00Z</dcterms:created>
  <dc:creator>Administrator</dc:creator>
  <cp:lastModifiedBy>衡-</cp:lastModifiedBy>
  <cp:lastPrinted>2025-05-16T08:58:00Z</cp:lastPrinted>
  <dcterms:modified xsi:type="dcterms:W3CDTF">2025-05-20T07:18:21Z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C5BA986B20F641928297D425DB4FF9A5_13</vt:lpwstr>
  </property>
  <property fmtid="{D5CDD505-2E9C-101B-9397-08002B2CF9AE}" pid="4" name="KSOTemplateDocerSaveRecord">
    <vt:lpwstr>eyJoZGlkIjoiOTNhYzc0NjU3N2Q4MWY1YWViNjkzOTI4ZDFmNDU5ZjciLCJ1c2VySWQiOiIzNjQ1NTM3MzEifQ==</vt:lpwstr>
  </property>
</Properties>
</file>