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4A" w:rsidRDefault="00524D4A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 w:rsidRPr="00524D4A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</w:t>
      </w:r>
      <w:r w:rsidR="009165DD" w:rsidRPr="009165DD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零星窗帘、布帘等维修类服务项目</w:t>
      </w:r>
    </w:p>
    <w:p w:rsidR="002D2910" w:rsidRDefault="00B760BC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  <w:r w:rsidR="000C466F">
        <w:rPr>
          <w:rFonts w:ascii="微软雅黑" w:eastAsia="微软雅黑" w:hAnsi="微软雅黑" w:cs="微软雅黑" w:hint="eastAsia"/>
          <w:b/>
          <w:sz w:val="32"/>
          <w:szCs w:val="32"/>
        </w:rPr>
        <w:t>（第二次）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</w:t>
      </w:r>
      <w:r w:rsidR="009165DD">
        <w:rPr>
          <w:rFonts w:ascii="微软雅黑" w:eastAsia="微软雅黑" w:hAnsi="微软雅黑" w:cs="微软雅黑" w:hint="eastAsia"/>
          <w:bCs/>
          <w:szCs w:val="21"/>
        </w:rPr>
        <w:t>零星窗帘、布帘等维修类服务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9165DD" w:rsidRDefault="009165DD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1.8.1与服务内容相适应的营业执照。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1.卷帘（含拉珠）制作、维修与更换；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2.窗帘及隔帘、浴帘的制作、维修与更换；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3.吊轨安装、维修与更换；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4.病员服、床单元用物、包布等布艺产品的改造及屏风、设备防尘套、沙袋等布艺产品的制作；</w:t>
      </w:r>
    </w:p>
    <w:p w:rsidR="009165DD" w:rsidRP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5.总务科指派的应急性工作；</w:t>
      </w:r>
    </w:p>
    <w:p w:rsidR="009165DD" w:rsidRDefault="009165DD" w:rsidP="009165D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6.未能完全说明部位的安装、维修与更换。</w:t>
      </w:r>
    </w:p>
    <w:p w:rsidR="006D7BD2" w:rsidRPr="006D7BD2" w:rsidRDefault="006D7BD2" w:rsidP="009165DD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9165DD" w:rsidRDefault="009165DD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9165DD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lastRenderedPageBreak/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2F3D04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2.材料需外加工的，外加工材料所耗费的时间不认定为工时，只认定院内服务部分的工时。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0C466F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 w:rsidR="00B760BC"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 w:rsidP="00A5399F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</w:t>
      </w:r>
      <w:r w:rsidR="00A5399F" w:rsidRPr="00A5399F">
        <w:rPr>
          <w:rFonts w:ascii="微软雅黑" w:eastAsia="微软雅黑" w:hAnsi="微软雅黑" w:cs="微软雅黑" w:hint="eastAsia"/>
          <w:color w:val="000000"/>
          <w:szCs w:val="21"/>
        </w:rPr>
        <w:t>2026年0</w:t>
      </w:r>
      <w:r w:rsidR="000C466F">
        <w:rPr>
          <w:rFonts w:ascii="微软雅黑" w:eastAsia="微软雅黑" w:hAnsi="微软雅黑" w:cs="微软雅黑"/>
          <w:color w:val="000000"/>
          <w:szCs w:val="21"/>
        </w:rPr>
        <w:t>2</w:t>
      </w:r>
      <w:r w:rsidR="00A5399F" w:rsidRPr="00A5399F"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0C466F">
        <w:rPr>
          <w:rFonts w:ascii="微软雅黑" w:eastAsia="微软雅黑" w:hAnsi="微软雅黑" w:cs="微软雅黑"/>
          <w:color w:val="000000"/>
          <w:szCs w:val="21"/>
        </w:rPr>
        <w:t>04</w:t>
      </w:r>
      <w:r w:rsidR="00A5399F" w:rsidRPr="00A5399F">
        <w:rPr>
          <w:rFonts w:ascii="微软雅黑" w:eastAsia="微软雅黑" w:hAnsi="微软雅黑" w:cs="微软雅黑" w:hint="eastAsia"/>
          <w:color w:val="000000"/>
          <w:szCs w:val="21"/>
        </w:rPr>
        <w:t>日至2026年02月</w:t>
      </w:r>
      <w:r w:rsidR="009C402F">
        <w:rPr>
          <w:rFonts w:ascii="微软雅黑" w:eastAsia="微软雅黑" w:hAnsi="微软雅黑" w:cs="微软雅黑"/>
          <w:color w:val="000000"/>
          <w:szCs w:val="21"/>
        </w:rPr>
        <w:t>10</w:t>
      </w:r>
      <w:bookmarkStart w:id="0" w:name="_GoBack"/>
      <w:bookmarkEnd w:id="0"/>
      <w:r w:rsidR="00A5399F" w:rsidRPr="00A5399F"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  <w:r w:rsidR="009165DD" w:rsidRPr="009165DD"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零星窗帘、布帘等维修类服务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88" w:rsidRDefault="00683D88" w:rsidP="00481C1D">
      <w:r>
        <w:separator/>
      </w:r>
    </w:p>
  </w:endnote>
  <w:endnote w:type="continuationSeparator" w:id="0">
    <w:p w:rsidR="00683D88" w:rsidRDefault="00683D88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88" w:rsidRDefault="00683D88" w:rsidP="00481C1D">
      <w:r>
        <w:separator/>
      </w:r>
    </w:p>
  </w:footnote>
  <w:footnote w:type="continuationSeparator" w:id="0">
    <w:p w:rsidR="00683D88" w:rsidRDefault="00683D88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0C466F"/>
    <w:rsid w:val="00165813"/>
    <w:rsid w:val="00167D9E"/>
    <w:rsid w:val="001F4213"/>
    <w:rsid w:val="00236747"/>
    <w:rsid w:val="002D2910"/>
    <w:rsid w:val="002F3D04"/>
    <w:rsid w:val="002F6F88"/>
    <w:rsid w:val="00353A76"/>
    <w:rsid w:val="00356B46"/>
    <w:rsid w:val="003B2489"/>
    <w:rsid w:val="003D6856"/>
    <w:rsid w:val="004409AB"/>
    <w:rsid w:val="00481C1D"/>
    <w:rsid w:val="00524D4A"/>
    <w:rsid w:val="00526CD6"/>
    <w:rsid w:val="005531DD"/>
    <w:rsid w:val="00553C16"/>
    <w:rsid w:val="005C33C2"/>
    <w:rsid w:val="00611BE1"/>
    <w:rsid w:val="00676FBE"/>
    <w:rsid w:val="00683D88"/>
    <w:rsid w:val="006D7BD2"/>
    <w:rsid w:val="006F52C2"/>
    <w:rsid w:val="008961E4"/>
    <w:rsid w:val="009165DD"/>
    <w:rsid w:val="009417C8"/>
    <w:rsid w:val="009527E4"/>
    <w:rsid w:val="009C402F"/>
    <w:rsid w:val="00A004C8"/>
    <w:rsid w:val="00A5399F"/>
    <w:rsid w:val="00A831AC"/>
    <w:rsid w:val="00B760BC"/>
    <w:rsid w:val="00C23CFC"/>
    <w:rsid w:val="00CF5D06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Balloon Text"/>
    <w:basedOn w:val="a"/>
    <w:link w:val="Char1"/>
    <w:rsid w:val="00A5399F"/>
    <w:rPr>
      <w:sz w:val="18"/>
      <w:szCs w:val="18"/>
    </w:rPr>
  </w:style>
  <w:style w:type="character" w:customStyle="1" w:styleId="Char1">
    <w:name w:val="批注框文本 Char"/>
    <w:basedOn w:val="a0"/>
    <w:link w:val="ab"/>
    <w:rsid w:val="00A539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>P R C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2026-01-27T07:41:00Z</cp:lastPrinted>
  <dcterms:created xsi:type="dcterms:W3CDTF">2026-02-04T02:06:00Z</dcterms:created>
  <dcterms:modified xsi:type="dcterms:W3CDTF">2026-02-04T02:25:00Z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