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6F" w:rsidRDefault="0046200C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多功能用纸采购项目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A2036F" w:rsidRDefault="0046200C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项目名称：丹阳市人民医院多功能用纸采购项目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预算：14.68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项目内部编号：DRY-CG-20260</w:t>
      </w:r>
      <w:r w:rsidR="00A61459">
        <w:rPr>
          <w:rFonts w:ascii="微软雅黑" w:eastAsia="微软雅黑" w:hAnsi="微软雅黑" w:cs="微软雅黑"/>
          <w:szCs w:val="21"/>
        </w:rPr>
        <w:t>21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A2036F" w:rsidRDefault="0046200C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1.8本项目特定资质要求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1.8.1提供所投品牌多功能用纸（</w:t>
      </w:r>
      <w:r>
        <w:rPr>
          <w:rFonts w:ascii="微软雅黑" w:eastAsia="微软雅黑" w:hAnsi="微软雅黑" w:cs="微软雅黑" w:hint="eastAsia"/>
        </w:rPr>
        <w:t>或同品牌任意一款规格</w:t>
      </w:r>
      <w:r>
        <w:rPr>
          <w:rFonts w:ascii="微软雅黑" w:eastAsia="微软雅黑" w:hAnsi="微软雅黑" w:cs="微软雅黑" w:hint="eastAsia"/>
          <w:szCs w:val="21"/>
        </w:rPr>
        <w:t>）经国家认可的检测机构按</w:t>
      </w:r>
      <w:r>
        <w:rPr>
          <w:rFonts w:ascii="微软雅黑" w:eastAsia="微软雅黑" w:hAnsi="微软雅黑" w:cs="微软雅黑" w:hint="eastAsia"/>
          <w:bCs/>
          <w:szCs w:val="21"/>
        </w:rPr>
        <w:t>GB/T 24988-2020</w:t>
      </w:r>
      <w:r>
        <w:rPr>
          <w:rFonts w:ascii="微软雅黑" w:eastAsia="微软雅黑" w:hAnsi="微软雅黑" w:cs="微软雅黑" w:hint="eastAsia"/>
          <w:szCs w:val="21"/>
        </w:rPr>
        <w:t xml:space="preserve"> 检测标准出具的检测报告复印件。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lightGray"/>
        </w:rPr>
      </w:pPr>
      <w:r>
        <w:rPr>
          <w:rFonts w:ascii="微软雅黑" w:eastAsia="微软雅黑" w:hAnsi="微软雅黑" w:cs="微软雅黑" w:hint="eastAsia"/>
          <w:szCs w:val="21"/>
        </w:rPr>
        <w:t>1.8.2提供所投品牌热敏收银纸（</w:t>
      </w:r>
      <w:r>
        <w:rPr>
          <w:rFonts w:ascii="微软雅黑" w:eastAsia="微软雅黑" w:hAnsi="微软雅黑" w:cs="微软雅黑" w:hint="eastAsia"/>
        </w:rPr>
        <w:t>或同品牌任意一款规格</w:t>
      </w:r>
      <w:r>
        <w:rPr>
          <w:rFonts w:ascii="微软雅黑" w:eastAsia="微软雅黑" w:hAnsi="微软雅黑" w:cs="微软雅黑" w:hint="eastAsia"/>
          <w:szCs w:val="21"/>
        </w:rPr>
        <w:t>）经国家认可的检测机构按</w:t>
      </w:r>
      <w:r>
        <w:rPr>
          <w:rFonts w:ascii="微软雅黑" w:eastAsia="微软雅黑" w:hAnsi="微软雅黑" w:cs="微软雅黑" w:hint="eastAsia"/>
          <w:bCs/>
          <w:szCs w:val="21"/>
        </w:rPr>
        <w:t>GB/T 28210-2024</w:t>
      </w:r>
      <w:r>
        <w:rPr>
          <w:rFonts w:ascii="微软雅黑" w:eastAsia="微软雅黑" w:hAnsi="微软雅黑" w:cs="微软雅黑" w:hint="eastAsia"/>
          <w:szCs w:val="21"/>
        </w:rPr>
        <w:t xml:space="preserve"> 检测标准出具的检测报告复印件。</w:t>
      </w:r>
    </w:p>
    <w:p w:rsidR="00A2036F" w:rsidRDefault="0046200C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5"/>
        <w:gridCol w:w="2725"/>
        <w:gridCol w:w="2513"/>
        <w:gridCol w:w="545"/>
        <w:gridCol w:w="1053"/>
      </w:tblGrid>
      <w:tr w:rsidR="00A2036F" w:rsidTr="0046200C">
        <w:trPr>
          <w:trHeight w:val="283"/>
          <w:jc w:val="center"/>
        </w:trPr>
        <w:tc>
          <w:tcPr>
            <w:tcW w:w="704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spacing w:val="45"/>
                <w:kern w:val="0"/>
                <w:szCs w:val="21"/>
              </w:rPr>
              <w:t>序</w:t>
            </w:r>
            <w:r w:rsidRPr="0046200C">
              <w:rPr>
                <w:rFonts w:ascii="微软雅黑" w:eastAsia="微软雅黑" w:hAnsi="微软雅黑" w:cs="微软雅黑" w:hint="eastAsia"/>
                <w:spacing w:val="-22"/>
                <w:kern w:val="0"/>
                <w:szCs w:val="21"/>
              </w:rPr>
              <w:t>号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名称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规格型号</w:t>
            </w:r>
          </w:p>
        </w:tc>
        <w:tc>
          <w:tcPr>
            <w:tcW w:w="2513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spacing w:val="240"/>
                <w:kern w:val="0"/>
                <w:szCs w:val="21"/>
              </w:rPr>
              <w:t>推荐品</w:t>
            </w:r>
            <w:r w:rsidRPr="0046200C">
              <w:rPr>
                <w:rFonts w:ascii="微软雅黑" w:eastAsia="微软雅黑" w:hAnsi="微软雅黑" w:cs="微软雅黑" w:hint="eastAsia"/>
                <w:spacing w:val="-1"/>
                <w:kern w:val="0"/>
                <w:szCs w:val="21"/>
              </w:rPr>
              <w:t>牌</w:t>
            </w:r>
          </w:p>
        </w:tc>
        <w:tc>
          <w:tcPr>
            <w:tcW w:w="545" w:type="dxa"/>
            <w:tcFitText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w w:val="73"/>
                <w:kern w:val="0"/>
                <w:szCs w:val="21"/>
              </w:rPr>
              <w:t>单位</w:t>
            </w:r>
          </w:p>
        </w:tc>
        <w:tc>
          <w:tcPr>
            <w:tcW w:w="1053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w w:val="97"/>
                <w:kern w:val="0"/>
                <w:szCs w:val="21"/>
              </w:rPr>
              <w:t>参考数</w:t>
            </w:r>
            <w:r w:rsidRPr="0046200C">
              <w:rPr>
                <w:rFonts w:ascii="微软雅黑" w:eastAsia="微软雅黑" w:hAnsi="微软雅黑" w:cs="微软雅黑" w:hint="eastAsia"/>
                <w:spacing w:val="1"/>
                <w:w w:val="97"/>
                <w:kern w:val="0"/>
                <w:szCs w:val="21"/>
              </w:rPr>
              <w:t>量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三元、得力、冠华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241-2（2等分）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310*279-2联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70gA5（淡红）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三元、得力、旗舰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70gA5（淡蓝）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80gA4彩色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185mm*265mm、70g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 2包/箱，1000份/包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西玛、用友、得力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110*100mm（宽*直径）长效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三元、得力、冠华</w:t>
            </w:r>
          </w:p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57*50mm（宽*直径）长效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A2036F" w:rsidTr="0046200C">
        <w:trPr>
          <w:trHeight w:val="86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 w:rsidTr="0046200C">
        <w:trPr>
          <w:trHeight w:val="7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A2036F" w:rsidTr="0046200C">
        <w:trPr>
          <w:trHeight w:val="8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瑞丽、得力、旗舰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A4 180克210*297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得力、金王子、乐凯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A2036F" w:rsidRDefault="00A2036F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四、技术参数及质量要求（结合采购内容查看）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.压感复写打印纸要求压感复写打印纸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1.1带导引孔，每箱1000页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1.2定量≥60g/㎡</w:t>
      </w:r>
    </w:p>
    <w:p w:rsidR="00A2036F" w:rsidRDefault="0046200C">
      <w:pPr>
        <w:numPr>
          <w:ilvl w:val="0"/>
          <w:numId w:val="5"/>
        </w:num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2.1每包500张。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A4金额记账凭证要求：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3.1 凭证纸，定量：≥70g/㎡。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3.2单张规格：210*127mm/份。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3.3单页规格：210*254mm/页。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3.4单包规格：1000份/包。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3.5单箱规格：2包/箱。</w:t>
      </w:r>
    </w:p>
    <w:p w:rsidR="00A2036F" w:rsidRDefault="0046200C">
      <w:pPr>
        <w:spacing w:line="380" w:lineRule="exact"/>
        <w:jc w:val="left"/>
        <w:outlineLvl w:val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4.热敏收银纸要求：详见采购内容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5.彩色激光打印纸要求：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5.1每包500张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5.2定量120g/㎡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5.3双面打印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5.4材质为全木浆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6.相片纸要求：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6.1 每包20张。</w:t>
      </w:r>
    </w:p>
    <w:p w:rsidR="00A2036F" w:rsidRDefault="0046200C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A2036F">
        <w:trPr>
          <w:trHeight w:val="514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146800元</w:t>
            </w:r>
          </w:p>
        </w:tc>
      </w:tr>
      <w:tr w:rsidR="00A2036F">
        <w:trPr>
          <w:trHeight w:val="90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A2036F">
        <w:trPr>
          <w:trHeight w:val="464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 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A2036F">
        <w:trPr>
          <w:trHeight w:val="1417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1.验收合格后，采购人收到中标人开具等额的正规发票后3个月内通过转账方式支付该批次货款的费用。</w:t>
            </w:r>
          </w:p>
          <w:p w:rsidR="00A2036F" w:rsidRDefault="0046200C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2.结算金额：采购人根据实际需要进行采购，按实际采购数量进行结算，货款=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</w:p>
        </w:tc>
      </w:tr>
      <w:tr w:rsidR="00A2036F">
        <w:trPr>
          <w:trHeight w:val="1309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2036F" w:rsidRDefault="0046200C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A2036F" w:rsidRDefault="0046200C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4.合同签订后，根据采购人要求分批供货（供货地点：丹阳市教务印刷厂3楼），接采购人订单之日起5日内将符合要求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，应急产品至接采购人通知后2小时内完成送货。货物运费及保险等费用由中标人承担。如未能按期交货，采购人有权解除本协议，同时，中标人应向采购人承担未交货价款20%的违约金。</w:t>
            </w:r>
          </w:p>
          <w:p w:rsidR="00A2036F" w:rsidRDefault="0046200C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A2036F" w:rsidRDefault="0046200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 xml:space="preserve">人承担全责。 </w:t>
            </w:r>
          </w:p>
          <w:p w:rsidR="00A2036F" w:rsidRDefault="0046200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8.货物运送至至采购人指定地点的包装、保险及发运等费用均由中标人承担。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10.采购量由实际需求量产生，采购人对最终采购量不作承诺。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  <w:highlight w:val="lightGray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11.采购人要求中标人提供某种产品为正品的溯源材料的，中标人必须提供，否则视为违约。</w:t>
            </w:r>
          </w:p>
        </w:tc>
      </w:tr>
      <w:tr w:rsidR="00A2036F">
        <w:trPr>
          <w:trHeight w:val="1289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1.货物到达现场后，中标人应经采购人或其指定验收人清点品名、规格、数量；检查外观，作出验收记录，采购人签字确认。</w:t>
            </w:r>
          </w:p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A2036F" w:rsidRDefault="0046200C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3.验收完毕前，货物由中标人负责管理。</w:t>
            </w:r>
          </w:p>
        </w:tc>
      </w:tr>
      <w:tr w:rsidR="00A2036F">
        <w:trPr>
          <w:trHeight w:val="680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2.质量保证期内，中标人对所供货物实行包换、包退，人为损坏等非质量问题除外。</w:t>
            </w:r>
          </w:p>
        </w:tc>
      </w:tr>
      <w:tr w:rsidR="00A2036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036F" w:rsidRDefault="0046200C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A2036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036F" w:rsidRDefault="0046200C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1年</w:t>
            </w:r>
          </w:p>
        </w:tc>
      </w:tr>
    </w:tbl>
    <w:p w:rsidR="00A2036F" w:rsidRDefault="0046200C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A2036F" w:rsidRDefault="0046200C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A2036F" w:rsidRDefault="0046200C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18756"/>
      <w:bookmarkStart w:id="2" w:name="_Toc3661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A2036F" w:rsidRDefault="0046200C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报名时间：2026年</w:t>
      </w:r>
      <w:r>
        <w:rPr>
          <w:rFonts w:ascii="微软雅黑" w:eastAsia="微软雅黑" w:hAnsi="微软雅黑" w:cs="微软雅黑"/>
          <w:szCs w:val="21"/>
        </w:rPr>
        <w:t>03</w:t>
      </w:r>
      <w:r>
        <w:rPr>
          <w:rFonts w:ascii="微软雅黑" w:eastAsia="微软雅黑" w:hAnsi="微软雅黑" w:cs="微软雅黑" w:hint="eastAsia"/>
          <w:szCs w:val="21"/>
        </w:rPr>
        <w:t>月0</w:t>
      </w:r>
      <w:r>
        <w:rPr>
          <w:rFonts w:ascii="微软雅黑" w:eastAsia="微软雅黑" w:hAnsi="微软雅黑" w:cs="微软雅黑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日至2026年0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A2036F" w:rsidRDefault="0046200C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A2036F" w:rsidRDefault="0046200C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丹阳市人民医院多功能用纸采购项目供货合同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丹阳市人民医院多功能用纸采购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DRY-CG-20260</w:t>
      </w:r>
      <w:r w:rsidR="00F11702">
        <w:rPr>
          <w:rFonts w:ascii="微软雅黑" w:eastAsia="微软雅黑" w:hAnsi="微软雅黑" w:cs="微软雅黑"/>
          <w:szCs w:val="21"/>
          <w:u w:val="single"/>
        </w:rPr>
        <w:t>21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2"/>
        <w:gridCol w:w="2700"/>
        <w:gridCol w:w="880"/>
        <w:gridCol w:w="670"/>
        <w:gridCol w:w="810"/>
        <w:gridCol w:w="1103"/>
      </w:tblGrid>
      <w:tr w:rsidR="00A2036F">
        <w:trPr>
          <w:trHeight w:val="45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670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单价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暂定数量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241-2（2等分）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70gA5（淡红）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70gA5（淡蓝）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80gA4彩色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185mm*265mm、70g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2包/箱，1000份/包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110*100mm（宽*直径）长效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57*50mm（宽*直径）长效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A4 180克210*297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注：1. 本表所列“暂定数量”仅为计算暂定合同总价的参考依据。2. 合同结算时，甲方将根据实际验收合格的货物数量，按本表确定的“单价（元）”进行支付。</w:t>
      </w:r>
    </w:p>
    <w:p w:rsidR="00A2036F" w:rsidRDefault="0046200C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1.本合同价款采用单价固定、数量按实、总价暂定的方式。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（1）结算单价：按上表各货物单价作为结算依据。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（2）暂定合同总价：人民币（大写）________ 元（小写：¥________ 元）。该总价为根据招标文件参考数量估算的金额，仅作为合同签订与管理的暂定依据，不作为最终结算的包干总额。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 结算与支付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（1）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 = ∑（该批次各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 × 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在收到发票后3个月内，通过银行转账方式支付该批次结算货款。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.压感复写打印纸要求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1.1带导引孔，每箱1000页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1.2涂层均匀，显色清晰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1.3纸面光滑，无皱折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1.4定量≥60g/㎡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2.多功能用纸要求：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2.1每包500张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A4金额记账凭证要求：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3.1 凭证纸，定量：≥70g/㎡。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3.2单张规格：210*127mm/份。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3.3单页规格：210*254mm/页。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3.4单包规格：1000份/包。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3.5单箱规格：2包/箱。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 热敏收银纸要求：技术参数符合要求。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5.彩色激光打印纸要求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5.1每包500张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5.2定量120g/㎡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5.3双面打印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5.4材质为全木浆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6.相片纸要求：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6.1 每包20张。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A2036F" w:rsidRDefault="0046200C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A2036F" w:rsidRDefault="0046200C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7000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4.合同签订后，根据甲方要求分批供货，接甲方订单之日起5日内将符合要求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，应急产品至接甲方通知后2小时内完成送货。货物运费及保险等费用由乙</w:t>
      </w:r>
      <w:r>
        <w:rPr>
          <w:rFonts w:ascii="微软雅黑" w:eastAsia="微软雅黑" w:hAnsi="微软雅黑" w:cs="微软雅黑" w:hint="eastAsia"/>
          <w:szCs w:val="21"/>
        </w:rPr>
        <w:lastRenderedPageBreak/>
        <w:t>方承担。如未能按期交货，甲方有权解除本协议，同时，乙方应向甲方承担未交货价款20%的违约金。</w:t>
      </w:r>
    </w:p>
    <w:p w:rsidR="00A2036F" w:rsidRDefault="0046200C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A2036F" w:rsidRDefault="0046200C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A2036F" w:rsidRDefault="0046200C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9.乙方负责货物的运输工作，包括装卸车、货物现场搬运至甲方指定地点等，整个过程中的安全法律责任由乙方承担。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10.采购量由实际需求量产生，甲方对最终采购量不作承诺。</w:t>
      </w:r>
    </w:p>
    <w:p w:rsidR="00A2036F" w:rsidRDefault="0046200C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11.甲方要求乙方提供某种产品为正品的溯源材料的，乙方必须提供，否则视为违约。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1.货物到达现场后，乙方应经甲方或其指定验收人清点品名、规格、数量；检查外观，作出验收记录，甲方签字确认。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A2036F" w:rsidRDefault="0046200C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3.验收完毕前，货物由乙方负责管理。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A2036F" w:rsidRDefault="0046200C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A2036F" w:rsidRDefault="00A2036F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甲方：丹阳市人民医院                   乙方：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A2036F" w:rsidRDefault="0046200C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A2036F" w:rsidRDefault="00A2036F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丹阳市人民医院多功能用纸采购项目</w:t>
      </w:r>
    </w:p>
    <w:p w:rsidR="00A2036F" w:rsidRDefault="00A2036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A2036F" w:rsidRDefault="00A2036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</w:t>
      </w:r>
      <w:r w:rsidR="00F11702">
        <w:rPr>
          <w:rFonts w:ascii="微软雅黑" w:eastAsia="微软雅黑" w:hAnsi="微软雅黑" w:cs="微软雅黑"/>
          <w:szCs w:val="21"/>
          <w:u w:val="single"/>
        </w:rPr>
        <w:t>21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A2036F" w:rsidRDefault="00A2036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3" w:name="_Toc9147"/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46200C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46200C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A2036F" w:rsidRDefault="00A2036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A2036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A2036F" w:rsidRDefault="0046200C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4" w:name="_Toc26951"/>
      <w:bookmarkEnd w:id="3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A2036F" w:rsidRDefault="0046200C">
      <w:pPr>
        <w:numPr>
          <w:ilvl w:val="0"/>
          <w:numId w:val="6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195F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________________（￥________元）的投标总报价进行投标（该总价系依据招标文件提供的参考数量测算，仅作为评标比较之用），并承诺将按招标文件的规定履行合同责任和义务，实现项目采购目的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B91C3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70BFD4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投标人(公章)：               </w:t>
      </w:r>
    </w:p>
    <w:p w:rsidR="00A2036F" w:rsidRDefault="0046200C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A2036F" w:rsidRDefault="0046200C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A2036F" w:rsidRDefault="00A2036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A2036F" w:rsidRDefault="0046200C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A2036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A2036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多功能用纸采购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A2036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A2036F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A2036F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A2036F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A2036F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A2036F" w:rsidRDefault="0046200C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 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A2036F" w:rsidRDefault="0046200C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4"/>
        <w:gridCol w:w="3023"/>
        <w:gridCol w:w="798"/>
        <w:gridCol w:w="718"/>
        <w:gridCol w:w="1018"/>
        <w:gridCol w:w="763"/>
        <w:gridCol w:w="1203"/>
      </w:tblGrid>
      <w:tr w:rsidR="00A2036F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参考数量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A2036F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241-2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241-2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等分）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310*279-2</w:t>
            </w:r>
            <w:r>
              <w:rPr>
                <w:rFonts w:hint="eastAsia"/>
              </w:rPr>
              <w:t>联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（淡红）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（淡蓝）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80gA4</w:t>
            </w:r>
            <w:r>
              <w:rPr>
                <w:rFonts w:hint="eastAsia"/>
              </w:rPr>
              <w:t>彩色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185mm*265mm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70g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金额记账凭证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A4  2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110*100mm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57*50mm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970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80*80mm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10*7cm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56mm*30m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</w:t>
            </w:r>
            <w:r>
              <w:t>0*75mm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彩色激光打印纸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120g A4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相片纸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A4 180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210*297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8821" w:type="dxa"/>
            <w:gridSpan w:val="7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</w:tbl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.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3.本项目最终结算价款遵循“按实结算”原则，计算公式为：最终结算总价 = ∑（各货物中标结算单价 × 该货物实际验收合格的数量）。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A2036F" w:rsidRDefault="0046200C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A2036F" w:rsidRDefault="0046200C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A2036F" w:rsidRDefault="0046200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lastRenderedPageBreak/>
        <w:br w:type="page"/>
      </w:r>
    </w:p>
    <w:p w:rsidR="00A2036F" w:rsidRDefault="0046200C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4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3FCB4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46CB38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3D86BF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55B3B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9218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A2036F" w:rsidRDefault="00A2036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2036F" w:rsidRDefault="0046200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4A3A6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A2036F" w:rsidRDefault="00A2036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2036F" w:rsidRDefault="0046200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7F49F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6" w:name="_Toc10458"/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46200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6"/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88180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393E4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A2036F" w:rsidRDefault="0046200C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A2036F" w:rsidRDefault="0046200C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A2036F" w:rsidRDefault="0046200C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22AB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2036F" w:rsidRDefault="0046200C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7" w:name="_Toc28085"/>
      <w:bookmarkStart w:id="8" w:name="_Toc18040"/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46200C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A2036F" w:rsidRDefault="0046200C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7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A2036F" w:rsidRDefault="0046200C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2036F" w:rsidRDefault="0046200C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9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A2036F" w:rsidRDefault="0046200C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9"/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A2036F" w:rsidRDefault="0046200C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A2036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2036F" w:rsidRDefault="0046200C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A2036F" w:rsidRDefault="0046200C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A2036F" w:rsidRDefault="0046200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0"/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widowControl/>
        <w:spacing w:line="380" w:lineRule="exact"/>
        <w:ind w:firstLineChars="900" w:firstLine="189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 xml:space="preserve">（3) </w:t>
      </w:r>
      <w:r>
        <w:rPr>
          <w:rFonts w:ascii="微软雅黑" w:eastAsia="微软雅黑" w:hAnsi="微软雅黑" w:cs="微软雅黑" w:hint="eastAsia"/>
          <w:b/>
          <w:bCs/>
          <w:szCs w:val="21"/>
        </w:rPr>
        <w:t>特定资质证明材料粘贴处</w:t>
      </w: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8"/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719368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A2036F">
        <w:trPr>
          <w:trHeight w:val="515"/>
          <w:jc w:val="center"/>
        </w:trPr>
        <w:tc>
          <w:tcPr>
            <w:tcW w:w="669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46200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2036F" w:rsidRDefault="0046200C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A2036F" w:rsidRDefault="0046200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“负偏离”的为无效投标文件。</w:t>
      </w: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A2036F" w:rsidRDefault="0046200C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205DE7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丹阳市人民医院多功能用纸采购项目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A2036F">
        <w:trPr>
          <w:trHeight w:val="765"/>
        </w:trPr>
        <w:tc>
          <w:tcPr>
            <w:tcW w:w="81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A2036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2036F" w:rsidRDefault="0046200C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A2036F" w:rsidRDefault="0046200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A2036F" w:rsidRDefault="0046200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A2036F" w:rsidRDefault="0046200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A2036F" w:rsidRDefault="0046200C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“负偏离”的为无效投标文件。</w:t>
      </w:r>
    </w:p>
    <w:p w:rsidR="00A2036F" w:rsidRDefault="00A2036F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bookmarkStart w:id="11" w:name="_GoBack"/>
      <w:bookmarkEnd w:id="11"/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A2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81" w:rsidRDefault="000E1381" w:rsidP="00A61459">
      <w:r>
        <w:separator/>
      </w:r>
    </w:p>
  </w:endnote>
  <w:endnote w:type="continuationSeparator" w:id="0">
    <w:p w:rsidR="000E1381" w:rsidRDefault="000E1381" w:rsidP="00A6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81" w:rsidRDefault="000E1381" w:rsidP="00A61459">
      <w:r>
        <w:separator/>
      </w:r>
    </w:p>
  </w:footnote>
  <w:footnote w:type="continuationSeparator" w:id="0">
    <w:p w:rsidR="000E1381" w:rsidRDefault="000E1381" w:rsidP="00A6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A35CC5BF"/>
    <w:multiLevelType w:val="singleLevel"/>
    <w:tmpl w:val="A35C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5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7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0E1381"/>
    <w:rsid w:val="00104B08"/>
    <w:rsid w:val="00136065"/>
    <w:rsid w:val="001B507C"/>
    <w:rsid w:val="001D1673"/>
    <w:rsid w:val="002208B9"/>
    <w:rsid w:val="00292375"/>
    <w:rsid w:val="002B2B8A"/>
    <w:rsid w:val="002B7207"/>
    <w:rsid w:val="003B0C9F"/>
    <w:rsid w:val="003D2490"/>
    <w:rsid w:val="003E216E"/>
    <w:rsid w:val="00412316"/>
    <w:rsid w:val="00421BB2"/>
    <w:rsid w:val="0046200C"/>
    <w:rsid w:val="004C4C0A"/>
    <w:rsid w:val="004F24EB"/>
    <w:rsid w:val="004F489B"/>
    <w:rsid w:val="00527B8B"/>
    <w:rsid w:val="005F4502"/>
    <w:rsid w:val="00635B63"/>
    <w:rsid w:val="007172B7"/>
    <w:rsid w:val="007642BC"/>
    <w:rsid w:val="007749B3"/>
    <w:rsid w:val="00806CFB"/>
    <w:rsid w:val="00971A3F"/>
    <w:rsid w:val="009E1AC0"/>
    <w:rsid w:val="00A2036F"/>
    <w:rsid w:val="00A37C0A"/>
    <w:rsid w:val="00A61459"/>
    <w:rsid w:val="00A63D88"/>
    <w:rsid w:val="00B60225"/>
    <w:rsid w:val="00C069BB"/>
    <w:rsid w:val="00C10D6B"/>
    <w:rsid w:val="00C76D7F"/>
    <w:rsid w:val="00CB606C"/>
    <w:rsid w:val="00D14680"/>
    <w:rsid w:val="00DB6B18"/>
    <w:rsid w:val="00EF3D04"/>
    <w:rsid w:val="00F11702"/>
    <w:rsid w:val="00F13B12"/>
    <w:rsid w:val="00F3063E"/>
    <w:rsid w:val="00F574D0"/>
    <w:rsid w:val="00FF23CB"/>
    <w:rsid w:val="00FF76A8"/>
    <w:rsid w:val="026A202C"/>
    <w:rsid w:val="026A2BB1"/>
    <w:rsid w:val="046274E3"/>
    <w:rsid w:val="056C223A"/>
    <w:rsid w:val="073F5B9D"/>
    <w:rsid w:val="093B2061"/>
    <w:rsid w:val="09840AC1"/>
    <w:rsid w:val="0BC30563"/>
    <w:rsid w:val="0C2E71AF"/>
    <w:rsid w:val="0C9C3443"/>
    <w:rsid w:val="0E144277"/>
    <w:rsid w:val="0FB86252"/>
    <w:rsid w:val="11AD129A"/>
    <w:rsid w:val="133D7572"/>
    <w:rsid w:val="13F01595"/>
    <w:rsid w:val="14E9614B"/>
    <w:rsid w:val="15320112"/>
    <w:rsid w:val="19337FE2"/>
    <w:rsid w:val="19542E32"/>
    <w:rsid w:val="1A2B2530"/>
    <w:rsid w:val="1F4D7849"/>
    <w:rsid w:val="203C405E"/>
    <w:rsid w:val="220A7621"/>
    <w:rsid w:val="231D1F06"/>
    <w:rsid w:val="25862ED5"/>
    <w:rsid w:val="25FE15DF"/>
    <w:rsid w:val="29B97032"/>
    <w:rsid w:val="2C973B84"/>
    <w:rsid w:val="2D700530"/>
    <w:rsid w:val="2F8A58D8"/>
    <w:rsid w:val="30DC2385"/>
    <w:rsid w:val="32686F2D"/>
    <w:rsid w:val="33F463B8"/>
    <w:rsid w:val="35172582"/>
    <w:rsid w:val="380F5607"/>
    <w:rsid w:val="3AF346B7"/>
    <w:rsid w:val="3EEF60C1"/>
    <w:rsid w:val="3F442E72"/>
    <w:rsid w:val="42C35294"/>
    <w:rsid w:val="45366733"/>
    <w:rsid w:val="458F13AE"/>
    <w:rsid w:val="48C9731B"/>
    <w:rsid w:val="48ED7A01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5EA0B90"/>
    <w:rsid w:val="56AD4298"/>
    <w:rsid w:val="59537CAC"/>
    <w:rsid w:val="599F56C6"/>
    <w:rsid w:val="5B1B66FD"/>
    <w:rsid w:val="607268A4"/>
    <w:rsid w:val="636650D1"/>
    <w:rsid w:val="65D3640F"/>
    <w:rsid w:val="67F33879"/>
    <w:rsid w:val="68E3725D"/>
    <w:rsid w:val="6BCC4207"/>
    <w:rsid w:val="6E0606F3"/>
    <w:rsid w:val="6F481FCD"/>
    <w:rsid w:val="716562CB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B6FBA3A-BFE0-4778-8E87-284B4E5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1659</Words>
  <Characters>9460</Characters>
  <Application>Microsoft Office Word</Application>
  <DocSecurity>0</DocSecurity>
  <Lines>78</Lines>
  <Paragraphs>22</Paragraphs>
  <ScaleCrop>false</ScaleCrop>
  <Company>P R C</Company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2026-03-04T08:24:00Z</cp:lastPrinted>
  <dcterms:created xsi:type="dcterms:W3CDTF">2026-03-12T01:28:00Z</dcterms:created>
  <dcterms:modified xsi:type="dcterms:W3CDTF">2026-03-12T01:29:00Z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