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EDD4B" w14:textId="77777777" w:rsidR="00982D43" w:rsidRDefault="00982D43">
      <w:pPr>
        <w:rPr>
          <w:rFonts w:ascii="宋体" w:eastAsia="宋体" w:hAnsi="宋体"/>
        </w:rPr>
      </w:pPr>
    </w:p>
    <w:p w14:paraId="43731189" w14:textId="77777777" w:rsidR="00982D43" w:rsidRDefault="00982D43">
      <w:pPr>
        <w:rPr>
          <w:rFonts w:ascii="宋体" w:eastAsia="宋体" w:hAnsi="宋体"/>
        </w:rPr>
      </w:pPr>
    </w:p>
    <w:p w14:paraId="0E61ACB6" w14:textId="77777777" w:rsidR="00982D43" w:rsidRDefault="001D0DF7">
      <w:pPr>
        <w:jc w:val="center"/>
        <w:rPr>
          <w:rFonts w:ascii="宋体" w:eastAsia="宋体" w:hAnsi="宋体"/>
          <w:b/>
          <w:bCs/>
          <w:sz w:val="32"/>
          <w:szCs w:val="32"/>
        </w:rPr>
      </w:pPr>
      <w:bookmarkStart w:id="0" w:name="_GoBack"/>
      <w:r>
        <w:rPr>
          <w:rFonts w:ascii="宋体" w:eastAsia="宋体" w:hAnsi="宋体" w:hint="eastAsia"/>
          <w:b/>
          <w:bCs/>
          <w:sz w:val="32"/>
          <w:szCs w:val="32"/>
        </w:rPr>
        <w:t>丹阳市人民医院备份系统升级扩容项目市场调研</w:t>
      </w:r>
      <w:bookmarkEnd w:id="0"/>
      <w:r>
        <w:rPr>
          <w:rFonts w:ascii="宋体" w:eastAsia="宋体" w:hAnsi="宋体" w:hint="eastAsia"/>
          <w:b/>
          <w:bCs/>
          <w:sz w:val="32"/>
          <w:szCs w:val="32"/>
        </w:rPr>
        <w:t>公告</w:t>
      </w:r>
    </w:p>
    <w:p w14:paraId="03C22DB9" w14:textId="77777777" w:rsidR="00982D43" w:rsidRDefault="00982D43">
      <w:pPr>
        <w:rPr>
          <w:rFonts w:ascii="宋体" w:eastAsia="宋体" w:hAnsi="宋体"/>
        </w:rPr>
      </w:pPr>
    </w:p>
    <w:p w14:paraId="542B7F2F" w14:textId="77777777" w:rsidR="00982D43" w:rsidRDefault="001D0DF7">
      <w:pPr>
        <w:rPr>
          <w:rFonts w:ascii="宋体" w:eastAsia="宋体" w:hAnsi="宋体"/>
          <w:b/>
          <w:bCs/>
        </w:rPr>
      </w:pPr>
      <w:r>
        <w:rPr>
          <w:rFonts w:ascii="宋体" w:eastAsia="宋体" w:hAnsi="宋体" w:hint="eastAsia"/>
          <w:b/>
          <w:bCs/>
        </w:rPr>
        <w:t>一、项目基本情况</w:t>
      </w:r>
    </w:p>
    <w:p w14:paraId="03F235FF" w14:textId="499C74BA" w:rsidR="00B71080" w:rsidRDefault="001D0DF7">
      <w:pPr>
        <w:rPr>
          <w:rFonts w:ascii="宋体" w:eastAsia="宋体" w:hAnsi="宋体"/>
        </w:rPr>
      </w:pPr>
      <w:r>
        <w:rPr>
          <w:rFonts w:ascii="宋体" w:eastAsia="宋体" w:hAnsi="宋体" w:hint="eastAsia"/>
        </w:rPr>
        <w:t>1.项目名称：丹阳市人民医院灾备软件升级扩容项目。</w:t>
      </w:r>
    </w:p>
    <w:p w14:paraId="482B7D09" w14:textId="77777777" w:rsidR="00982D43" w:rsidRDefault="001D0DF7">
      <w:pPr>
        <w:rPr>
          <w:rFonts w:ascii="宋体" w:eastAsia="宋体" w:hAnsi="宋体"/>
          <w:b/>
          <w:bCs/>
        </w:rPr>
      </w:pPr>
      <w:r>
        <w:rPr>
          <w:rFonts w:ascii="宋体" w:eastAsia="宋体" w:hAnsi="宋体" w:hint="eastAsia"/>
          <w:b/>
          <w:bCs/>
        </w:rPr>
        <w:t>二、采购内容</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985"/>
        <w:gridCol w:w="1559"/>
        <w:gridCol w:w="4253"/>
      </w:tblGrid>
      <w:tr w:rsidR="00982D43" w14:paraId="31F7F3D4" w14:textId="77777777" w:rsidTr="00D27C7F">
        <w:trPr>
          <w:trHeight w:val="558"/>
          <w:jc w:val="center"/>
        </w:trPr>
        <w:tc>
          <w:tcPr>
            <w:tcW w:w="1129" w:type="dxa"/>
            <w:vAlign w:val="center"/>
          </w:tcPr>
          <w:p w14:paraId="617A9E8F"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序号</w:t>
            </w:r>
          </w:p>
        </w:tc>
        <w:tc>
          <w:tcPr>
            <w:tcW w:w="1985" w:type="dxa"/>
            <w:vAlign w:val="center"/>
          </w:tcPr>
          <w:p w14:paraId="3821BAD4"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产品名称</w:t>
            </w:r>
          </w:p>
        </w:tc>
        <w:tc>
          <w:tcPr>
            <w:tcW w:w="1559" w:type="dxa"/>
            <w:vAlign w:val="center"/>
          </w:tcPr>
          <w:p w14:paraId="0109198E"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数量</w:t>
            </w:r>
          </w:p>
        </w:tc>
        <w:tc>
          <w:tcPr>
            <w:tcW w:w="4253" w:type="dxa"/>
            <w:vAlign w:val="center"/>
          </w:tcPr>
          <w:p w14:paraId="55261B73"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备注</w:t>
            </w:r>
          </w:p>
        </w:tc>
      </w:tr>
      <w:tr w:rsidR="00982D43" w14:paraId="0C5A68BF" w14:textId="77777777" w:rsidTr="00D27C7F">
        <w:trPr>
          <w:trHeight w:val="59"/>
          <w:jc w:val="center"/>
        </w:trPr>
        <w:tc>
          <w:tcPr>
            <w:tcW w:w="1129" w:type="dxa"/>
            <w:vAlign w:val="center"/>
          </w:tcPr>
          <w:p w14:paraId="1051E449"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1985" w:type="dxa"/>
            <w:vAlign w:val="center"/>
          </w:tcPr>
          <w:p w14:paraId="30AF76F3"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备份系统</w:t>
            </w:r>
          </w:p>
        </w:tc>
        <w:tc>
          <w:tcPr>
            <w:tcW w:w="1559" w:type="dxa"/>
            <w:vAlign w:val="center"/>
          </w:tcPr>
          <w:p w14:paraId="5673051E"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1套</w:t>
            </w:r>
          </w:p>
        </w:tc>
        <w:tc>
          <w:tcPr>
            <w:tcW w:w="4253" w:type="dxa"/>
            <w:vAlign w:val="center"/>
          </w:tcPr>
          <w:p w14:paraId="15983C9F" w14:textId="77777777" w:rsidR="00982D43" w:rsidRDefault="001D0DF7" w:rsidP="007D2537">
            <w:pPr>
              <w:spacing w:line="360" w:lineRule="auto"/>
              <w:jc w:val="center"/>
              <w:textAlignment w:val="center"/>
              <w:rPr>
                <w:rFonts w:ascii="宋体" w:eastAsia="宋体" w:hAnsi="宋体" w:cs="宋体"/>
                <w:color w:val="000000"/>
                <w:szCs w:val="21"/>
              </w:rPr>
            </w:pPr>
            <w:r>
              <w:rPr>
                <w:rFonts w:ascii="宋体" w:eastAsia="宋体" w:hAnsi="宋体" w:cs="宋体" w:hint="eastAsia"/>
                <w:color w:val="000000"/>
                <w:szCs w:val="21"/>
              </w:rPr>
              <w:t>容量20T以上授权（根据现场实际需求）</w:t>
            </w:r>
          </w:p>
        </w:tc>
      </w:tr>
      <w:tr w:rsidR="00982D43" w14:paraId="5D36D2A0" w14:textId="77777777" w:rsidTr="00D27C7F">
        <w:trPr>
          <w:trHeight w:val="59"/>
          <w:jc w:val="center"/>
        </w:trPr>
        <w:tc>
          <w:tcPr>
            <w:tcW w:w="8926" w:type="dxa"/>
            <w:gridSpan w:val="4"/>
            <w:vAlign w:val="center"/>
          </w:tcPr>
          <w:p w14:paraId="3A014167" w14:textId="77777777" w:rsidR="00982D43" w:rsidRDefault="001D0DF7" w:rsidP="007D2537">
            <w:pPr>
              <w:spacing w:line="360" w:lineRule="auto"/>
              <w:textAlignment w:val="center"/>
              <w:rPr>
                <w:rFonts w:ascii="宋体" w:eastAsia="宋体" w:hAnsi="宋体" w:cs="宋体"/>
                <w:color w:val="000000"/>
                <w:szCs w:val="21"/>
              </w:rPr>
            </w:pPr>
            <w:r>
              <w:rPr>
                <w:rFonts w:ascii="宋体" w:eastAsia="宋体" w:hAnsi="宋体" w:cs="宋体" w:hint="eastAsia"/>
                <w:color w:val="000000"/>
                <w:szCs w:val="21"/>
              </w:rPr>
              <w:t>软件免费升级、维护三年</w:t>
            </w:r>
          </w:p>
        </w:tc>
      </w:tr>
    </w:tbl>
    <w:p w14:paraId="3A096FD5" w14:textId="77777777" w:rsidR="00982D43" w:rsidRDefault="001D0DF7">
      <w:pPr>
        <w:rPr>
          <w:rFonts w:ascii="宋体" w:eastAsia="宋体" w:hAnsi="宋体"/>
          <w:b/>
          <w:bCs/>
        </w:rPr>
      </w:pPr>
      <w:r>
        <w:rPr>
          <w:rFonts w:ascii="宋体" w:eastAsia="宋体" w:hAnsi="宋体" w:hint="eastAsia"/>
          <w:b/>
          <w:bCs/>
        </w:rPr>
        <w:t>三、功能需求</w:t>
      </w:r>
    </w:p>
    <w:p w14:paraId="257659D6" w14:textId="77777777" w:rsidR="00982D43" w:rsidRDefault="001D0DF7">
      <w:pPr>
        <w:pStyle w:val="a8"/>
        <w:numPr>
          <w:ilvl w:val="0"/>
          <w:numId w:val="1"/>
        </w:numPr>
        <w:rPr>
          <w:rFonts w:ascii="宋体" w:eastAsia="宋体" w:hAnsi="宋体"/>
        </w:rPr>
      </w:pPr>
      <w:r>
        <w:rPr>
          <w:rFonts w:ascii="宋体" w:eastAsia="宋体" w:hAnsi="宋体" w:hint="eastAsia"/>
        </w:rPr>
        <w:t>对现有的科力锐灾备软件升级扩容，配置20TB以上备份容量授权</w:t>
      </w:r>
    </w:p>
    <w:p w14:paraId="5D92F199" w14:textId="77777777" w:rsidR="00982D43" w:rsidRDefault="001D0DF7">
      <w:pPr>
        <w:pStyle w:val="a8"/>
        <w:numPr>
          <w:ilvl w:val="0"/>
          <w:numId w:val="1"/>
        </w:numPr>
        <w:rPr>
          <w:rFonts w:ascii="宋体" w:eastAsia="宋体" w:hAnsi="宋体"/>
        </w:rPr>
      </w:pPr>
      <w:r>
        <w:rPr>
          <w:rFonts w:ascii="宋体" w:eastAsia="宋体" w:hAnsi="宋体" w:hint="eastAsia"/>
        </w:rPr>
        <w:t>提供C86架构下的主机备份授权;CDP备份功能授权(无限制)；主机分钟级快速恢复功能授权;数据库整机备份细粒度恢复功能授权</w:t>
      </w:r>
    </w:p>
    <w:p w14:paraId="1E205CE7" w14:textId="77777777" w:rsidR="00982D43" w:rsidRDefault="001D0DF7">
      <w:pPr>
        <w:pStyle w:val="a8"/>
        <w:numPr>
          <w:ilvl w:val="0"/>
          <w:numId w:val="1"/>
        </w:numPr>
        <w:rPr>
          <w:rFonts w:ascii="宋体" w:eastAsia="宋体" w:hAnsi="宋体"/>
        </w:rPr>
      </w:pPr>
      <w:r>
        <w:rPr>
          <w:rFonts w:ascii="宋体" w:eastAsia="宋体" w:hAnsi="宋体" w:hint="eastAsia"/>
        </w:rPr>
        <w:t>提供对任意品牌技术的X86、C86、ARM服务器的统一灾备保护功能，支持对国产操作系统中标麒麟、银河麒麟、统信、中科方德、欧拉等的灾备保护</w:t>
      </w:r>
    </w:p>
    <w:p w14:paraId="79A8B676" w14:textId="77777777" w:rsidR="00982D43" w:rsidRDefault="001D0DF7">
      <w:pPr>
        <w:pStyle w:val="a8"/>
        <w:numPr>
          <w:ilvl w:val="0"/>
          <w:numId w:val="1"/>
        </w:numPr>
        <w:rPr>
          <w:rFonts w:ascii="宋体" w:eastAsia="宋体" w:hAnsi="宋体"/>
        </w:rPr>
      </w:pPr>
      <w:r>
        <w:rPr>
          <w:rFonts w:ascii="宋体" w:eastAsia="宋体" w:hAnsi="宋体" w:hint="eastAsia"/>
        </w:rPr>
        <w:t>三年质保7*24小时原厂400电话和在线技术支援服务</w:t>
      </w:r>
    </w:p>
    <w:p w14:paraId="5851D71F" w14:textId="543A8952" w:rsidR="00982D43" w:rsidRDefault="007D2537">
      <w:pPr>
        <w:rPr>
          <w:rFonts w:ascii="宋体" w:eastAsia="宋体" w:hAnsi="宋体"/>
          <w:b/>
          <w:bCs/>
        </w:rPr>
      </w:pPr>
      <w:r>
        <w:rPr>
          <w:rFonts w:ascii="宋体" w:eastAsia="宋体" w:hAnsi="宋体" w:hint="eastAsia"/>
          <w:b/>
          <w:bCs/>
        </w:rPr>
        <w:t>四</w:t>
      </w:r>
      <w:r w:rsidR="001D0DF7">
        <w:rPr>
          <w:rFonts w:ascii="宋体" w:eastAsia="宋体" w:hAnsi="宋体" w:hint="eastAsia"/>
          <w:b/>
          <w:bCs/>
        </w:rPr>
        <w:t>、详细技术参数</w:t>
      </w:r>
    </w:p>
    <w:p w14:paraId="56B6B7EC" w14:textId="77777777" w:rsidR="00982D43" w:rsidRDefault="001D0DF7">
      <w:pPr>
        <w:spacing w:line="360" w:lineRule="auto"/>
        <w:rPr>
          <w:rFonts w:ascii="宋体" w:eastAsia="宋体" w:hAnsi="宋体"/>
        </w:rPr>
      </w:pPr>
      <w:r>
        <w:rPr>
          <w:rFonts w:ascii="宋体" w:eastAsia="宋体" w:hAnsi="宋体" w:hint="eastAsia"/>
        </w:rPr>
        <w:t>1：</w:t>
      </w:r>
      <w:r>
        <w:rPr>
          <w:rFonts w:ascii="宋体" w:eastAsia="宋体" w:hAnsi="宋体"/>
        </w:rPr>
        <w:t>提供对任意品牌技术的X86、C86、ARM服务器的统一灾备保护功能，支持对国产操作系统中标麒麟、银河麒麟、统信、中科方德、欧拉等的灾备保护</w:t>
      </w:r>
    </w:p>
    <w:p w14:paraId="3ABAB5A5" w14:textId="77777777" w:rsidR="00982D43" w:rsidRDefault="001D0DF7">
      <w:pPr>
        <w:spacing w:line="360" w:lineRule="auto"/>
        <w:rPr>
          <w:rFonts w:ascii="宋体" w:eastAsia="宋体" w:hAnsi="宋体"/>
        </w:rPr>
      </w:pPr>
      <w:r>
        <w:rPr>
          <w:rFonts w:ascii="宋体" w:eastAsia="宋体" w:hAnsi="宋体" w:hint="eastAsia"/>
        </w:rPr>
        <w:t>2：提供基于磁盘数据块复制技术的整机一体化备份功能，可对我院的HIS、EMR、医疗集成平台等系统及其数据库提供统一的灾备保护，保护内容包括：操作系统、应用系统、数据库、文件等，备份前无需了解主机业务系统类型、部署方法、业务系统间的数据交互机制、数据结构/逻辑关系和数据库的品牌/版本。</w:t>
      </w:r>
    </w:p>
    <w:p w14:paraId="27D75DC6" w14:textId="77777777" w:rsidR="00982D43" w:rsidRDefault="001D0DF7">
      <w:pPr>
        <w:spacing w:line="360" w:lineRule="auto"/>
        <w:rPr>
          <w:rFonts w:ascii="宋体" w:eastAsia="宋体" w:hAnsi="宋体"/>
        </w:rPr>
      </w:pPr>
      <w:r>
        <w:rPr>
          <w:rFonts w:ascii="宋体" w:eastAsia="宋体" w:hAnsi="宋体" w:hint="eastAsia"/>
        </w:rPr>
        <w:t>3：提供对物理机、虚拟机、云主机统一的CDP灾备保护，实时备份磁盘任意时刻的状态，备份时间粒度最小可达微秒级，实现RPO趋近于0；（提供针对该功能的权威第三方产品检测报告，并加盖原厂公章）</w:t>
      </w:r>
    </w:p>
    <w:p w14:paraId="0C353ED0" w14:textId="77777777" w:rsidR="00982D43" w:rsidRDefault="001D0DF7">
      <w:pPr>
        <w:spacing w:line="360" w:lineRule="auto"/>
        <w:rPr>
          <w:rFonts w:ascii="宋体" w:eastAsia="宋体" w:hAnsi="宋体"/>
        </w:rPr>
      </w:pPr>
      <w:r>
        <w:rPr>
          <w:rFonts w:ascii="宋体" w:eastAsia="宋体" w:hAnsi="宋体" w:hint="eastAsia"/>
        </w:rPr>
        <w:t>4：在对主机进行微秒级CDP保护的过程中，对被保护主机性能影响小于百分之一，防止因CDP持续数据对生产主机造成性能影响。</w:t>
      </w:r>
    </w:p>
    <w:p w14:paraId="71B768C8" w14:textId="77777777" w:rsidR="00982D43" w:rsidRDefault="001D0DF7">
      <w:pPr>
        <w:spacing w:line="360" w:lineRule="auto"/>
        <w:rPr>
          <w:rFonts w:ascii="宋体" w:eastAsia="宋体" w:hAnsi="宋体"/>
        </w:rPr>
      </w:pPr>
      <w:r>
        <w:rPr>
          <w:rFonts w:ascii="宋体" w:eastAsia="宋体" w:hAnsi="宋体" w:hint="eastAsia"/>
        </w:rPr>
        <w:t>5：支持完整备份和增量备份，首次备份时使用完整备份保留整机应用的完整状态，后续所有备份均采用增量备份，大幅减少备份的数据量。</w:t>
      </w:r>
    </w:p>
    <w:p w14:paraId="243BBBD7" w14:textId="77777777" w:rsidR="00982D43" w:rsidRDefault="001D0DF7">
      <w:pPr>
        <w:spacing w:line="360" w:lineRule="auto"/>
        <w:rPr>
          <w:rFonts w:ascii="宋体" w:eastAsia="宋体" w:hAnsi="宋体"/>
        </w:rPr>
      </w:pPr>
      <w:r>
        <w:rPr>
          <w:rFonts w:ascii="宋体" w:eastAsia="宋体" w:hAnsi="宋体" w:hint="eastAsia"/>
        </w:rPr>
        <w:t>6：支持备份时通过灾备系统进行源机磁盘IO读写占用进行限速，限制客户端对源机磁盘IO读取性能，以确保备份时对生产主机的影响小并且在可控范围内；</w:t>
      </w:r>
    </w:p>
    <w:p w14:paraId="22A1F243" w14:textId="77777777" w:rsidR="00982D43" w:rsidRDefault="001D0DF7">
      <w:pPr>
        <w:spacing w:line="360" w:lineRule="auto"/>
        <w:rPr>
          <w:rFonts w:ascii="宋体" w:eastAsia="宋体" w:hAnsi="宋体"/>
        </w:rPr>
      </w:pPr>
      <w:r>
        <w:rPr>
          <w:rFonts w:ascii="宋体" w:eastAsia="宋体" w:hAnsi="宋体" w:hint="eastAsia"/>
        </w:rPr>
        <w:lastRenderedPageBreak/>
        <w:t>7：支持数据和业务的即时验证，无需准备第三方挂载环境，无需恢复数据，直接将备份副本拉起为运行在灾备系统上的验证虚拟机，即时验证备份数据的完整性、一致性和业务应用的可用性。</w:t>
      </w:r>
    </w:p>
    <w:p w14:paraId="39D7AEEF" w14:textId="77777777" w:rsidR="00982D43" w:rsidRDefault="001D0DF7">
      <w:pPr>
        <w:spacing w:line="360" w:lineRule="auto"/>
        <w:rPr>
          <w:rFonts w:ascii="宋体" w:eastAsia="宋体" w:hAnsi="宋体"/>
        </w:rPr>
      </w:pPr>
      <w:r>
        <w:rPr>
          <w:rFonts w:ascii="宋体" w:eastAsia="宋体" w:hAnsi="宋体" w:hint="eastAsia"/>
        </w:rPr>
        <w:t>8：支持自动验证备份副本的可用性，以确保备份副本可正常恢复。支持在web平台上直接配置自动检查主机操作系统可用性、OS版本、磁盘结构（分区结构、容量、已使用量），可添加验证进程启动情况、服务启动情况、端口监听状态等，无需通过脚本，全web化操作，验证报告邮件可配置为自动向管理员发送，同时支持以二次开发的脚本对每台主机进行自动的个性化深度验证。（提供针对该功能的权威第三方产品检测报告，并加盖原厂公章。）</w:t>
      </w:r>
    </w:p>
    <w:p w14:paraId="225EE250" w14:textId="77777777" w:rsidR="00982D43" w:rsidRDefault="001D0DF7">
      <w:pPr>
        <w:spacing w:line="360" w:lineRule="auto"/>
        <w:rPr>
          <w:rFonts w:ascii="宋体" w:eastAsia="宋体" w:hAnsi="宋体"/>
        </w:rPr>
      </w:pPr>
      <w:r>
        <w:rPr>
          <w:rFonts w:ascii="宋体" w:eastAsia="宋体" w:hAnsi="宋体" w:hint="eastAsia"/>
        </w:rPr>
        <w:t>9：具备源机故障时的接管容灾能力，无需集成、配置第三方虚拟化平台，无需恢复数据，直接将备份副本拉起为运行在灾备系统上的容灾虚拟机以接管源机业务。</w:t>
      </w:r>
    </w:p>
    <w:p w14:paraId="2D1CE896" w14:textId="77777777" w:rsidR="00982D43" w:rsidRDefault="001D0DF7">
      <w:pPr>
        <w:spacing w:line="360" w:lineRule="auto"/>
        <w:rPr>
          <w:rFonts w:ascii="宋体" w:eastAsia="宋体" w:hAnsi="宋体"/>
        </w:rPr>
      </w:pPr>
      <w:r>
        <w:rPr>
          <w:rFonts w:ascii="宋体" w:eastAsia="宋体" w:hAnsi="宋体" w:hint="eastAsia"/>
        </w:rPr>
        <w:t>10：为保护应急接管时的新增数据，要求支持对应急接管主机执行即刻开始的增量CDP持续数据保护，应急接管新增的数据会形成备份点可用于灾难恢复。（提供针对该功能的权威第三方产品检测报告，并加盖原厂公章。）</w:t>
      </w:r>
    </w:p>
    <w:p w14:paraId="49138DF2" w14:textId="77777777" w:rsidR="00982D43" w:rsidRDefault="001D0DF7">
      <w:pPr>
        <w:spacing w:line="360" w:lineRule="auto"/>
        <w:rPr>
          <w:rFonts w:ascii="宋体" w:eastAsia="宋体" w:hAnsi="宋体"/>
        </w:rPr>
      </w:pPr>
      <w:r>
        <w:rPr>
          <w:rFonts w:ascii="宋体" w:eastAsia="宋体" w:hAnsi="宋体" w:hint="eastAsia"/>
        </w:rPr>
        <w:t>11：为满足任意环境下的业务高可靠，保障业务连续性，需要支持在相同CPU架构的任意品牌/技术/芯片组的物理主机、虚拟机和云主机间构建带可回退历史点的热备容灾架构，支持1分钟内重要系统双机HA的灾备切换功能。（提供针对该功能的权威第三方产品检测报告，并加盖原厂公章。）</w:t>
      </w:r>
    </w:p>
    <w:p w14:paraId="0E395362" w14:textId="77777777" w:rsidR="00982D43" w:rsidRDefault="001D0DF7">
      <w:pPr>
        <w:spacing w:line="360" w:lineRule="auto"/>
        <w:rPr>
          <w:rFonts w:ascii="宋体" w:eastAsia="宋体" w:hAnsi="宋体"/>
        </w:rPr>
      </w:pPr>
      <w:r>
        <w:rPr>
          <w:rFonts w:ascii="宋体" w:eastAsia="宋体" w:hAnsi="宋体" w:hint="eastAsia"/>
        </w:rPr>
        <w:t>12：热备容灾架构可选择任意CDP历史点进行灾备切换，且目标机无需部署操作系统、应用系统以及数据库，确保在遭受勒索病毒、逻辑错误等情况下可恢复正常有效系统状态。（提供针对该功能的权威第三方产品检测报告，并加盖原厂公章。）</w:t>
      </w:r>
    </w:p>
    <w:p w14:paraId="4840A19B" w14:textId="77777777" w:rsidR="00982D43" w:rsidRDefault="001D0DF7">
      <w:pPr>
        <w:spacing w:line="360" w:lineRule="auto"/>
        <w:rPr>
          <w:rFonts w:ascii="宋体" w:eastAsia="宋体" w:hAnsi="宋体"/>
        </w:rPr>
      </w:pPr>
      <w:r>
        <w:rPr>
          <w:rFonts w:ascii="宋体" w:eastAsia="宋体" w:hAnsi="宋体" w:hint="eastAsia"/>
        </w:rPr>
        <w:t>13：兼容性强，支持任意场景下的P2P容灾（源机数据直接同步到目标机）、PCP容灾（源机数据先备份到容灾系统再同步到目标机）以及PCXP容灾（源机数据远程容灾到异地再同步到目标机），满足我司数据中心多样化容灾需求。</w:t>
      </w:r>
    </w:p>
    <w:p w14:paraId="72848A54" w14:textId="77777777" w:rsidR="00982D43" w:rsidRDefault="001D0DF7">
      <w:pPr>
        <w:spacing w:line="360" w:lineRule="auto"/>
        <w:rPr>
          <w:rFonts w:ascii="宋体" w:eastAsia="宋体" w:hAnsi="宋体"/>
        </w:rPr>
      </w:pPr>
      <w:r>
        <w:rPr>
          <w:rFonts w:ascii="宋体" w:eastAsia="宋体" w:hAnsi="宋体" w:hint="eastAsia"/>
        </w:rPr>
        <w:t>14：千兆网络环境中，无需预置恢复目标端环境（操作系统、应用、数据库等），即可将无论数据量大小的备份副本在15分钟内将应用系统灾备点重建至目标主机上，以非存储挂载方式实现业务服务恢复。（提供针对该功能的权威第三方产品检测报告，并加盖原厂公章。）</w:t>
      </w:r>
    </w:p>
    <w:p w14:paraId="61BB9C3E" w14:textId="77777777" w:rsidR="00982D43" w:rsidRDefault="001D0DF7">
      <w:pPr>
        <w:spacing w:line="360" w:lineRule="auto"/>
        <w:rPr>
          <w:rFonts w:ascii="宋体" w:eastAsia="宋体" w:hAnsi="宋体"/>
        </w:rPr>
      </w:pPr>
      <w:r>
        <w:rPr>
          <w:rFonts w:ascii="宋体" w:eastAsia="宋体" w:hAnsi="宋体" w:hint="eastAsia"/>
        </w:rPr>
        <w:t>15：业务恢复时无需预先配置恢复目标端环境（包括操作系统、应用、数据库等），在千兆网络环境下都可将任意数据量的备份副本在0.25小时内快速重建至目标主机，以非存储挂载的方式实现业务服务的迅速恢复。（提供针对该功能的权威第三方产品检测报告，并加盖</w:t>
      </w:r>
      <w:r>
        <w:rPr>
          <w:rFonts w:ascii="宋体" w:eastAsia="宋体" w:hAnsi="宋体" w:hint="eastAsia"/>
        </w:rPr>
        <w:lastRenderedPageBreak/>
        <w:t>原厂公章。）</w:t>
      </w:r>
    </w:p>
    <w:p w14:paraId="7565EDBB" w14:textId="77777777" w:rsidR="00982D43" w:rsidRDefault="001D0DF7">
      <w:pPr>
        <w:spacing w:line="360" w:lineRule="auto"/>
        <w:rPr>
          <w:rFonts w:ascii="宋体" w:eastAsia="宋体" w:hAnsi="宋体"/>
        </w:rPr>
      </w:pPr>
      <w:r>
        <w:rPr>
          <w:rFonts w:ascii="宋体" w:eastAsia="宋体" w:hAnsi="宋体" w:hint="eastAsia"/>
        </w:rPr>
        <w:t>16：同芯片架构下的任意源主机和异构目标机（物理机、虚拟机和云主机）灾难重建时自动完成适配驱动兼容适配，无需人工干预即可完成异构主机间灾难重建。（提供针对该功能的权威第三方产品检测报告，并加盖原厂公章。）</w:t>
      </w:r>
    </w:p>
    <w:p w14:paraId="625E1EC2" w14:textId="77777777" w:rsidR="00982D43" w:rsidRDefault="001D0DF7">
      <w:pPr>
        <w:rPr>
          <w:rFonts w:ascii="宋体" w:eastAsia="宋体" w:hAnsi="宋体"/>
        </w:rPr>
      </w:pPr>
      <w:r>
        <w:rPr>
          <w:rFonts w:ascii="宋体" w:eastAsia="宋体" w:hAnsi="宋体" w:hint="eastAsia"/>
        </w:rPr>
        <w:t>17：</w:t>
      </w:r>
      <w:r>
        <w:rPr>
          <w:rFonts w:ascii="宋体" w:eastAsia="宋体" w:hAnsi="宋体"/>
        </w:rPr>
        <w:t>可同时支持提供Oracle、MySQL、SAP HANA、PostgreSQL等数据库任意CDP历史点的一体化整机恢复和实例级恢复，恢复任务全在灾备系统web可视化界面配置操作，无需人工手动导入导出。（提供产品操作截图证明，并加盖原厂公章）</w:t>
      </w:r>
    </w:p>
    <w:p w14:paraId="5FAD8D04" w14:textId="3FBB4CD7" w:rsidR="007D2537" w:rsidRPr="007D2537" w:rsidRDefault="007D2537" w:rsidP="007D2537">
      <w:pPr>
        <w:rPr>
          <w:rFonts w:ascii="宋体" w:eastAsia="宋体" w:hAnsi="宋体"/>
          <w:b/>
        </w:rPr>
      </w:pPr>
      <w:r w:rsidRPr="007D2537">
        <w:rPr>
          <w:rFonts w:ascii="宋体" w:eastAsia="宋体" w:hAnsi="宋体" w:hint="eastAsia"/>
          <w:b/>
        </w:rPr>
        <w:t>五、报价要求</w:t>
      </w:r>
    </w:p>
    <w:p w14:paraId="04284240" w14:textId="77777777" w:rsidR="007D2537" w:rsidRDefault="007D2537" w:rsidP="007D2537">
      <w:pPr>
        <w:spacing w:line="360" w:lineRule="exact"/>
        <w:jc w:val="left"/>
        <w:rPr>
          <w:rFonts w:ascii="宋体" w:eastAsia="宋体" w:hAnsi="宋体"/>
        </w:rPr>
      </w:pPr>
      <w:r w:rsidRPr="007D2537">
        <w:rPr>
          <w:rFonts w:ascii="宋体" w:eastAsia="宋体" w:hAnsi="宋体"/>
        </w:rPr>
        <w:t>1.报总价。</w:t>
      </w:r>
    </w:p>
    <w:p w14:paraId="1E21AB5A" w14:textId="387FF087" w:rsidR="007D2537" w:rsidRDefault="007D2537" w:rsidP="007D2537">
      <w:pPr>
        <w:spacing w:line="360" w:lineRule="exact"/>
        <w:jc w:val="left"/>
        <w:rPr>
          <w:rFonts w:ascii="宋体" w:eastAsia="宋体" w:hAnsi="宋体"/>
        </w:rPr>
      </w:pPr>
      <w:r>
        <w:rPr>
          <w:rFonts w:ascii="宋体" w:eastAsia="宋体" w:hAnsi="宋体" w:hint="eastAsia"/>
        </w:rPr>
        <w:t>2</w:t>
      </w:r>
      <w:r>
        <w:rPr>
          <w:rFonts w:ascii="宋体" w:eastAsia="宋体" w:hAnsi="宋体"/>
        </w:rPr>
        <w:t>.</w:t>
      </w:r>
      <w:r w:rsidRPr="007D2537">
        <w:rPr>
          <w:rFonts w:ascii="宋体" w:eastAsia="宋体" w:hAnsi="宋体" w:hint="eastAsia"/>
        </w:rPr>
        <w:t>项目总报价包含所有服务范围内的全部内容，含税。</w:t>
      </w:r>
    </w:p>
    <w:p w14:paraId="6E3C2C2B" w14:textId="3C05AF5B" w:rsidR="007D2537" w:rsidRPr="007D2537" w:rsidRDefault="007D2537" w:rsidP="007D2537">
      <w:pPr>
        <w:spacing w:line="360" w:lineRule="exact"/>
        <w:jc w:val="left"/>
        <w:rPr>
          <w:rFonts w:ascii="宋体" w:eastAsia="宋体" w:hAnsi="宋体"/>
        </w:rPr>
      </w:pPr>
      <w:r>
        <w:rPr>
          <w:rFonts w:ascii="宋体" w:eastAsia="宋体" w:hAnsi="宋体"/>
        </w:rPr>
        <w:t>3</w:t>
      </w:r>
      <w:r w:rsidRPr="007D2537">
        <w:rPr>
          <w:rFonts w:ascii="宋体" w:eastAsia="宋体" w:hAnsi="宋体" w:hint="eastAsia"/>
        </w:rPr>
        <w:t>.采用人民币报价，以元为单位标注。</w:t>
      </w:r>
    </w:p>
    <w:p w14:paraId="69369698" w14:textId="46F68FAF" w:rsidR="007D2537" w:rsidRPr="007D2537" w:rsidRDefault="007D2537" w:rsidP="007D2537">
      <w:pPr>
        <w:spacing w:line="360" w:lineRule="exact"/>
        <w:jc w:val="left"/>
        <w:rPr>
          <w:rFonts w:ascii="宋体" w:eastAsia="宋体" w:hAnsi="宋体"/>
        </w:rPr>
      </w:pPr>
      <w:r>
        <w:rPr>
          <w:rFonts w:ascii="宋体" w:eastAsia="宋体" w:hAnsi="宋体"/>
        </w:rPr>
        <w:t>4</w:t>
      </w:r>
      <w:r w:rsidRPr="007D2537">
        <w:rPr>
          <w:rFonts w:ascii="宋体" w:eastAsia="宋体" w:hAnsi="宋体" w:hint="eastAsia"/>
        </w:rPr>
        <w:t>.报价保留至小数点后两位，四舍五入。</w:t>
      </w:r>
    </w:p>
    <w:p w14:paraId="47DAD58B" w14:textId="2FD0D3A2" w:rsidR="007D2537" w:rsidRPr="007D2537" w:rsidRDefault="007D2537" w:rsidP="007D2537">
      <w:pPr>
        <w:rPr>
          <w:rFonts w:ascii="宋体" w:eastAsia="宋体" w:hAnsi="宋体"/>
          <w:b/>
        </w:rPr>
      </w:pPr>
      <w:r>
        <w:rPr>
          <w:rFonts w:ascii="宋体" w:eastAsia="宋体" w:hAnsi="宋体" w:hint="eastAsia"/>
          <w:b/>
        </w:rPr>
        <w:t>六</w:t>
      </w:r>
      <w:r w:rsidRPr="007D2537">
        <w:rPr>
          <w:rFonts w:ascii="宋体" w:eastAsia="宋体" w:hAnsi="宋体" w:hint="eastAsia"/>
          <w:b/>
        </w:rPr>
        <w:t>、材料递交要求</w:t>
      </w:r>
    </w:p>
    <w:p w14:paraId="313F1D33" w14:textId="77777777" w:rsidR="007D2537" w:rsidRPr="007D2537" w:rsidRDefault="007D2537" w:rsidP="007D2537">
      <w:pPr>
        <w:rPr>
          <w:rFonts w:ascii="宋体" w:eastAsia="宋体" w:hAnsi="宋体"/>
        </w:rPr>
      </w:pPr>
      <w:r w:rsidRPr="007D2537">
        <w:rPr>
          <w:rFonts w:ascii="宋体" w:eastAsia="宋体" w:hAnsi="宋体"/>
        </w:rPr>
        <w:t>1.提供以下资料并完整封装。</w:t>
      </w:r>
    </w:p>
    <w:p w14:paraId="5D4FEFFD" w14:textId="77777777" w:rsidR="007D2537" w:rsidRPr="007D2537" w:rsidRDefault="007D2537" w:rsidP="007D2537">
      <w:pPr>
        <w:rPr>
          <w:rFonts w:ascii="宋体" w:eastAsia="宋体" w:hAnsi="宋体"/>
        </w:rPr>
      </w:pPr>
      <w:r w:rsidRPr="007D2537">
        <w:rPr>
          <w:rFonts w:ascii="宋体" w:eastAsia="宋体" w:hAnsi="宋体"/>
        </w:rPr>
        <w:t>1）有效期内的公司营业执照复印件，盖公章（见附件3）；</w:t>
      </w:r>
    </w:p>
    <w:p w14:paraId="5EB69B2B" w14:textId="77777777" w:rsidR="007D2537" w:rsidRPr="007D2537" w:rsidRDefault="007D2537" w:rsidP="007D2537">
      <w:pPr>
        <w:rPr>
          <w:rFonts w:ascii="宋体" w:eastAsia="宋体" w:hAnsi="宋体"/>
        </w:rPr>
      </w:pPr>
      <w:r w:rsidRPr="007D2537">
        <w:rPr>
          <w:rFonts w:ascii="宋体" w:eastAsia="宋体" w:hAnsi="宋体"/>
        </w:rPr>
        <w:t>2）法定代表人身份证明书（见附件2）；</w:t>
      </w:r>
    </w:p>
    <w:p w14:paraId="1E6BADCB" w14:textId="77777777" w:rsidR="007D2537" w:rsidRPr="007D2537" w:rsidRDefault="007D2537" w:rsidP="007D2537">
      <w:pPr>
        <w:rPr>
          <w:rFonts w:ascii="宋体" w:eastAsia="宋体" w:hAnsi="宋体"/>
        </w:rPr>
      </w:pPr>
      <w:r w:rsidRPr="007D2537">
        <w:rPr>
          <w:rFonts w:ascii="宋体" w:eastAsia="宋体" w:hAnsi="宋体"/>
        </w:rPr>
        <w:t>3）项目总报价表及报价明细表（见附件1）</w:t>
      </w:r>
    </w:p>
    <w:p w14:paraId="23F7112D" w14:textId="77777777" w:rsidR="007D2537" w:rsidRPr="007D2537" w:rsidRDefault="007D2537" w:rsidP="007D2537">
      <w:pPr>
        <w:rPr>
          <w:rFonts w:ascii="宋体" w:eastAsia="宋体" w:hAnsi="宋体"/>
        </w:rPr>
      </w:pPr>
      <w:r w:rsidRPr="007D2537">
        <w:rPr>
          <w:rFonts w:ascii="宋体" w:eastAsia="宋体" w:hAnsi="宋体"/>
        </w:rPr>
        <w:t>2.递交时间及地点</w:t>
      </w:r>
    </w:p>
    <w:p w14:paraId="585AA950" w14:textId="3D1AF95E" w:rsidR="007D2537" w:rsidRPr="007D2537" w:rsidRDefault="007D2537" w:rsidP="007D2537">
      <w:pPr>
        <w:rPr>
          <w:rFonts w:ascii="宋体" w:eastAsia="宋体" w:hAnsi="宋体"/>
        </w:rPr>
      </w:pPr>
      <w:r w:rsidRPr="007D2537">
        <w:rPr>
          <w:rFonts w:ascii="宋体" w:eastAsia="宋体" w:hAnsi="宋体"/>
        </w:rPr>
        <w:t>1）递交时间：202</w:t>
      </w:r>
      <w:r w:rsidR="00D27C7F">
        <w:rPr>
          <w:rFonts w:ascii="宋体" w:eastAsia="宋体" w:hAnsi="宋体"/>
        </w:rPr>
        <w:t>6</w:t>
      </w:r>
      <w:r w:rsidRPr="007D2537">
        <w:rPr>
          <w:rFonts w:ascii="宋体" w:eastAsia="宋体" w:hAnsi="宋体"/>
        </w:rPr>
        <w:t>年</w:t>
      </w:r>
      <w:r w:rsidR="00D27C7F">
        <w:rPr>
          <w:rFonts w:ascii="宋体" w:eastAsia="宋体" w:hAnsi="宋体"/>
        </w:rPr>
        <w:t>03</w:t>
      </w:r>
      <w:r w:rsidRPr="007D2537">
        <w:rPr>
          <w:rFonts w:ascii="宋体" w:eastAsia="宋体" w:hAnsi="宋体"/>
        </w:rPr>
        <w:t>月</w:t>
      </w:r>
      <w:r w:rsidR="00D27C7F">
        <w:rPr>
          <w:rFonts w:ascii="宋体" w:eastAsia="宋体" w:hAnsi="宋体"/>
        </w:rPr>
        <w:t>13</w:t>
      </w:r>
      <w:r w:rsidRPr="007D2537">
        <w:rPr>
          <w:rFonts w:ascii="宋体" w:eastAsia="宋体" w:hAnsi="宋体"/>
        </w:rPr>
        <w:t>日至202</w:t>
      </w:r>
      <w:r w:rsidR="00D27C7F">
        <w:rPr>
          <w:rFonts w:ascii="宋体" w:eastAsia="宋体" w:hAnsi="宋体"/>
        </w:rPr>
        <w:t>6</w:t>
      </w:r>
      <w:r w:rsidRPr="007D2537">
        <w:rPr>
          <w:rFonts w:ascii="宋体" w:eastAsia="宋体" w:hAnsi="宋体"/>
        </w:rPr>
        <w:t>年</w:t>
      </w:r>
      <w:r w:rsidR="00D27C7F">
        <w:rPr>
          <w:rFonts w:ascii="宋体" w:eastAsia="宋体" w:hAnsi="宋体"/>
        </w:rPr>
        <w:t>03</w:t>
      </w:r>
      <w:r w:rsidRPr="007D2537">
        <w:rPr>
          <w:rFonts w:ascii="宋体" w:eastAsia="宋体" w:hAnsi="宋体"/>
        </w:rPr>
        <w:t>月</w:t>
      </w:r>
      <w:r w:rsidR="00D27C7F">
        <w:rPr>
          <w:rFonts w:ascii="宋体" w:eastAsia="宋体" w:hAnsi="宋体"/>
        </w:rPr>
        <w:t>19</w:t>
      </w:r>
      <w:r w:rsidRPr="007D2537">
        <w:rPr>
          <w:rFonts w:ascii="宋体" w:eastAsia="宋体" w:hAnsi="宋体"/>
        </w:rPr>
        <w:t>日，北京时间上午8:00-11:00，下午2:00-4:30。</w:t>
      </w:r>
    </w:p>
    <w:p w14:paraId="291E4438" w14:textId="77777777" w:rsidR="007D2537" w:rsidRPr="007D2537" w:rsidRDefault="007D2537" w:rsidP="007D2537">
      <w:pPr>
        <w:rPr>
          <w:rFonts w:ascii="宋体" w:eastAsia="宋体" w:hAnsi="宋体"/>
        </w:rPr>
      </w:pPr>
      <w:r w:rsidRPr="007D2537">
        <w:rPr>
          <w:rFonts w:ascii="宋体" w:eastAsia="宋体" w:hAnsi="宋体"/>
        </w:rPr>
        <w:t>2）递交地点：丹阳市教育印刷厂三楼（丹阳市人民医院采购中心）。</w:t>
      </w:r>
    </w:p>
    <w:p w14:paraId="092BF03D" w14:textId="77777777" w:rsidR="007D2537" w:rsidRPr="007D2537" w:rsidRDefault="007D2537" w:rsidP="007D2537">
      <w:pPr>
        <w:rPr>
          <w:rFonts w:ascii="宋体" w:eastAsia="宋体" w:hAnsi="宋体"/>
        </w:rPr>
      </w:pPr>
      <w:r w:rsidRPr="007D2537">
        <w:rPr>
          <w:rFonts w:ascii="宋体" w:eastAsia="宋体" w:hAnsi="宋体"/>
        </w:rPr>
        <w:t>3）联系人：杨先生；</w:t>
      </w:r>
    </w:p>
    <w:p w14:paraId="7E3A1C83" w14:textId="77777777" w:rsidR="007D2537" w:rsidRDefault="007D2537" w:rsidP="007D2537">
      <w:pPr>
        <w:spacing w:line="480" w:lineRule="exact"/>
        <w:rPr>
          <w:rFonts w:ascii="宋体" w:eastAsia="宋体" w:hAnsi="宋体"/>
        </w:rPr>
      </w:pPr>
      <w:r w:rsidRPr="007D2537">
        <w:rPr>
          <w:rFonts w:ascii="宋体" w:eastAsia="宋体" w:hAnsi="宋体"/>
        </w:rPr>
        <w:t>4）联系电话：0511-86553123 15189172512。</w:t>
      </w:r>
    </w:p>
    <w:p w14:paraId="34F56DF5" w14:textId="77777777" w:rsidR="007D2537" w:rsidRDefault="007D2537">
      <w:pPr>
        <w:widowControl/>
        <w:jc w:val="left"/>
        <w:rPr>
          <w:rFonts w:ascii="宋体" w:eastAsia="宋体" w:hAnsi="宋体"/>
        </w:rPr>
      </w:pPr>
      <w:r>
        <w:rPr>
          <w:rFonts w:ascii="宋体" w:eastAsia="宋体" w:hAnsi="宋体"/>
        </w:rPr>
        <w:br w:type="page"/>
      </w:r>
    </w:p>
    <w:p w14:paraId="225A27E8" w14:textId="1664D2BE" w:rsidR="007D2537" w:rsidRDefault="007D2537" w:rsidP="007D2537">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14:paraId="77B9C6CB" w14:textId="77777777" w:rsidR="007D2537" w:rsidRDefault="007D2537" w:rsidP="007D2537">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9129" w:type="dxa"/>
        <w:jc w:val="center"/>
        <w:tblLayout w:type="fixed"/>
        <w:tblCellMar>
          <w:left w:w="10" w:type="dxa"/>
          <w:right w:w="10" w:type="dxa"/>
        </w:tblCellMar>
        <w:tblLook w:val="04A0" w:firstRow="1" w:lastRow="0" w:firstColumn="1" w:lastColumn="0" w:noHBand="0" w:noVBand="1"/>
      </w:tblPr>
      <w:tblGrid>
        <w:gridCol w:w="2147"/>
        <w:gridCol w:w="2490"/>
        <w:gridCol w:w="1505"/>
        <w:gridCol w:w="2987"/>
      </w:tblGrid>
      <w:tr w:rsidR="007D2537" w14:paraId="4EC986AD" w14:textId="77777777" w:rsidTr="00F83E4E">
        <w:trPr>
          <w:trHeight w:hRule="exact" w:val="1090"/>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0C5FF2" w14:textId="77777777" w:rsidR="007D2537" w:rsidRDefault="007D2537" w:rsidP="00F83E4E">
            <w:pPr>
              <w:pStyle w:val="Other1"/>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lang w:eastAsia="zh-CN"/>
              </w:rPr>
              <w:t>采购</w:t>
            </w:r>
            <w:r>
              <w:rPr>
                <w:rFonts w:ascii="微软雅黑" w:eastAsia="微软雅黑" w:hAnsi="微软雅黑" w:cs="微软雅黑" w:hint="eastAsia"/>
                <w:color w:val="000000"/>
                <w:sz w:val="24"/>
                <w:szCs w:val="24"/>
                <w:lang w:val="en-US" w:eastAsia="zh-CN"/>
              </w:rPr>
              <w:t>单位</w:t>
            </w:r>
            <w:r>
              <w:rPr>
                <w:rFonts w:ascii="微软雅黑" w:eastAsia="微软雅黑" w:hAnsi="微软雅黑" w:cs="微软雅黑" w:hint="eastAsia"/>
                <w:color w:val="000000"/>
                <w:sz w:val="24"/>
                <w:szCs w:val="24"/>
              </w:rPr>
              <w:t>：丹阳市人民医院</w:t>
            </w:r>
          </w:p>
        </w:tc>
      </w:tr>
      <w:tr w:rsidR="007D2537" w14:paraId="5B194F75" w14:textId="77777777" w:rsidTr="00F83E4E">
        <w:trPr>
          <w:trHeight w:hRule="exact" w:val="81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4408ACB" w14:textId="75649325" w:rsidR="007D2537" w:rsidRDefault="007D2537" w:rsidP="00F83E4E">
            <w:pPr>
              <w:pStyle w:val="Other1"/>
              <w:jc w:val="left"/>
              <w:rPr>
                <w:rFonts w:ascii="微软雅黑" w:eastAsia="微软雅黑" w:hAnsi="微软雅黑" w:cs="微软雅黑"/>
                <w:color w:val="000000"/>
                <w:sz w:val="24"/>
                <w:szCs w:val="24"/>
                <w:lang w:eastAsia="zh-CN"/>
              </w:rPr>
            </w:pPr>
            <w:r>
              <w:rPr>
                <w:rFonts w:ascii="微软雅黑" w:eastAsia="微软雅黑" w:hAnsi="微软雅黑" w:cs="微软雅黑" w:hint="eastAsia"/>
                <w:color w:val="000000"/>
                <w:sz w:val="24"/>
                <w:szCs w:val="24"/>
                <w:lang w:eastAsia="zh-CN"/>
              </w:rPr>
              <w:t>项目</w:t>
            </w:r>
            <w:r>
              <w:rPr>
                <w:rFonts w:ascii="微软雅黑" w:eastAsia="微软雅黑" w:hAnsi="微软雅黑" w:cs="微软雅黑" w:hint="eastAsia"/>
                <w:color w:val="000000"/>
                <w:sz w:val="24"/>
                <w:szCs w:val="24"/>
              </w:rPr>
              <w:t>名称：</w:t>
            </w:r>
            <w:r w:rsidRPr="007D2537">
              <w:rPr>
                <w:rFonts w:ascii="微软雅黑" w:eastAsia="微软雅黑" w:hAnsi="微软雅黑" w:cs="微软雅黑" w:hint="eastAsia"/>
                <w:color w:val="000000"/>
                <w:sz w:val="24"/>
                <w:szCs w:val="24"/>
              </w:rPr>
              <w:t>丹阳市人民医院灾备软件升级扩容项目</w:t>
            </w:r>
          </w:p>
        </w:tc>
      </w:tr>
      <w:tr w:rsidR="007D2537" w14:paraId="20996EDB" w14:textId="77777777" w:rsidTr="00F83E4E">
        <w:trPr>
          <w:trHeight w:hRule="exact" w:val="172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0A20CE" w14:textId="77777777" w:rsidR="007D2537" w:rsidRDefault="007D2537" w:rsidP="00F83E4E">
            <w:pPr>
              <w:pStyle w:val="Other1"/>
              <w:jc w:val="left"/>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投标单位（盖章）</w:t>
            </w:r>
          </w:p>
        </w:tc>
      </w:tr>
      <w:tr w:rsidR="007D2537" w14:paraId="17E64CD8" w14:textId="77777777" w:rsidTr="00F83E4E">
        <w:trPr>
          <w:trHeight w:hRule="exact" w:val="1280"/>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93E9051"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sz w:val="24"/>
                <w:szCs w:val="24"/>
              </w:rPr>
              <w:t>法定代表人</w:t>
            </w:r>
            <w:r>
              <w:rPr>
                <w:rFonts w:ascii="微软雅黑" w:eastAsia="微软雅黑" w:hAnsi="微软雅黑" w:cs="微软雅黑" w:hint="eastAsia"/>
                <w:sz w:val="24"/>
                <w:szCs w:val="24"/>
                <w:lang w:val="en-US" w:eastAsia="zh-CN"/>
              </w:rPr>
              <w:t>签字</w:t>
            </w:r>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14:paraId="30333537"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tcPr>
          <w:p w14:paraId="378D44E4"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联系电话</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4198A45D"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r>
      <w:tr w:rsidR="007D2537" w14:paraId="0A588B8B" w14:textId="77777777" w:rsidTr="00F83E4E">
        <w:trPr>
          <w:trHeight w:hRule="exact" w:val="737"/>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1EB1C3" w14:textId="77777777" w:rsidR="007D2537" w:rsidRDefault="007D2537" w:rsidP="00F83E4E">
            <w:pPr>
              <w:pStyle w:val="Other1"/>
              <w:jc w:val="center"/>
              <w:rPr>
                <w:rFonts w:ascii="微软雅黑" w:eastAsia="微软雅黑" w:hAnsi="微软雅黑" w:cs="微软雅黑"/>
                <w:color w:val="000000"/>
                <w:kern w:val="0"/>
                <w:sz w:val="24"/>
                <w:szCs w:val="24"/>
                <w:lang w:val="en-US" w:eastAsia="zh-CN" w:bidi="ar"/>
              </w:rPr>
            </w:pPr>
            <w:r>
              <w:rPr>
                <w:rFonts w:ascii="微软雅黑" w:eastAsia="微软雅黑" w:hAnsi="微软雅黑" w:cs="微软雅黑" w:hint="eastAsia"/>
                <w:color w:val="000000"/>
                <w:kern w:val="0"/>
                <w:sz w:val="24"/>
                <w:szCs w:val="24"/>
                <w:lang w:val="en-US" w:eastAsia="zh-CN" w:bidi="ar"/>
              </w:rPr>
              <w:t>项目总报价</w:t>
            </w:r>
          </w:p>
          <w:p w14:paraId="299687FE"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EBE262" w14:textId="77777777" w:rsidR="007D2537" w:rsidRDefault="007D2537" w:rsidP="00F83E4E">
            <w:pPr>
              <w:rPr>
                <w:rFonts w:ascii="微软雅黑" w:eastAsia="微软雅黑" w:hAnsi="微软雅黑" w:cs="微软雅黑"/>
              </w:rPr>
            </w:pPr>
            <w:r>
              <w:rPr>
                <w:rFonts w:ascii="微软雅黑" w:eastAsia="微软雅黑" w:hAnsi="微软雅黑" w:cs="微软雅黑" w:hint="eastAsia"/>
                <w:color w:val="000000"/>
                <w:sz w:val="24"/>
              </w:rPr>
              <w:t>（大写）：</w:t>
            </w:r>
          </w:p>
        </w:tc>
      </w:tr>
      <w:tr w:rsidR="007D2537" w14:paraId="2FA3C421" w14:textId="77777777" w:rsidTr="00F83E4E">
        <w:trPr>
          <w:trHeight w:hRule="exact" w:val="745"/>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EE00FB"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A85A7A" w14:textId="77777777" w:rsidR="007D2537" w:rsidRDefault="007D2537" w:rsidP="00F83E4E">
            <w:pPr>
              <w:rPr>
                <w:rFonts w:ascii="微软雅黑" w:eastAsia="微软雅黑" w:hAnsi="微软雅黑" w:cs="微软雅黑"/>
                <w:color w:val="000000"/>
              </w:rPr>
            </w:pPr>
            <w:r>
              <w:rPr>
                <w:rFonts w:ascii="微软雅黑" w:eastAsia="微软雅黑" w:hAnsi="微软雅黑" w:cs="微软雅黑" w:hint="eastAsia"/>
                <w:color w:val="000000"/>
                <w:sz w:val="24"/>
              </w:rPr>
              <w:t>（小写）：</w:t>
            </w:r>
          </w:p>
        </w:tc>
      </w:tr>
      <w:tr w:rsidR="007D2537" w14:paraId="08915972" w14:textId="77777777" w:rsidTr="00F83E4E">
        <w:trPr>
          <w:trHeight w:hRule="exact" w:val="893"/>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8A7ED3F"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报价日期</w:t>
            </w: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4559C3" w14:textId="77777777" w:rsidR="007D2537" w:rsidRDefault="007D2537" w:rsidP="00F83E4E">
            <w:pPr>
              <w:rPr>
                <w:rFonts w:ascii="微软雅黑" w:eastAsia="微软雅黑" w:hAnsi="微软雅黑" w:cs="微软雅黑"/>
                <w:color w:val="000000"/>
              </w:rPr>
            </w:pPr>
          </w:p>
        </w:tc>
      </w:tr>
    </w:tbl>
    <w:p w14:paraId="4B212874" w14:textId="77777777" w:rsidR="007D2537" w:rsidRDefault="007D2537" w:rsidP="007D2537">
      <w:pPr>
        <w:jc w:val="center"/>
        <w:rPr>
          <w:sz w:val="32"/>
          <w:szCs w:val="20"/>
        </w:rPr>
      </w:pPr>
    </w:p>
    <w:p w14:paraId="58BB65F1" w14:textId="5D748CEB" w:rsidR="007D2537" w:rsidRDefault="007D2537" w:rsidP="007D2537">
      <w:pPr>
        <w:pStyle w:val="aa"/>
        <w:spacing w:line="400" w:lineRule="exact"/>
        <w:ind w:left="0" w:firstLine="0"/>
        <w:jc w:val="left"/>
        <w:rPr>
          <w:rFonts w:ascii="微软雅黑" w:eastAsia="微软雅黑" w:hAnsi="微软雅黑" w:cs="微软雅黑"/>
          <w:sz w:val="21"/>
          <w:szCs w:val="21"/>
        </w:rPr>
      </w:pPr>
      <w:r>
        <w:t>注：</w:t>
      </w:r>
      <w:r>
        <w:t xml:space="preserve"> </w:t>
      </w:r>
      <w:r>
        <w:rPr>
          <w:rFonts w:ascii="微软雅黑" w:eastAsia="微软雅黑" w:hAnsi="微软雅黑" w:cs="微软雅黑" w:hint="eastAsia"/>
          <w:sz w:val="21"/>
          <w:szCs w:val="21"/>
        </w:rPr>
        <w:t>1.填写报价表。</w:t>
      </w:r>
    </w:p>
    <w:p w14:paraId="60DEEF9D" w14:textId="77777777"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2.项目总报价包含所有服务范围内的全部内容，含税。</w:t>
      </w:r>
    </w:p>
    <w:p w14:paraId="639B519E" w14:textId="77777777"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3.采用人民币报价，以元为单位标注。</w:t>
      </w:r>
    </w:p>
    <w:p w14:paraId="4A72BC27" w14:textId="589716B4" w:rsidR="007D2537" w:rsidRDefault="007D2537" w:rsidP="007D2537">
      <w:pPr>
        <w:widowControl/>
        <w:spacing w:line="360" w:lineRule="exact"/>
        <w:ind w:leftChars="300" w:left="630"/>
        <w:jc w:val="left"/>
        <w:rPr>
          <w:b/>
          <w:bCs/>
          <w:color w:val="000000"/>
        </w:rPr>
      </w:pPr>
      <w:r w:rsidRPr="007D2537">
        <w:rPr>
          <w:rFonts w:ascii="微软雅黑" w:eastAsia="微软雅黑" w:hAnsi="微软雅黑" w:cs="微软雅黑"/>
          <w:szCs w:val="21"/>
        </w:rPr>
        <w:t>4.报价保留至小数点后两位，四舍五入。</w:t>
      </w:r>
      <w:r>
        <w:rPr>
          <w:b/>
          <w:bCs/>
          <w:color w:val="000000"/>
        </w:rPr>
        <w:br w:type="page"/>
      </w:r>
    </w:p>
    <w:p w14:paraId="67A18B2F" w14:textId="2E6DEEE6" w:rsidR="007D2537" w:rsidRDefault="007D2537" w:rsidP="007D2537">
      <w:pPr>
        <w:widowControl/>
        <w:jc w:val="left"/>
        <w:rPr>
          <w:b/>
          <w:bCs/>
          <w:color w:val="000000"/>
        </w:rPr>
      </w:pPr>
      <w:r>
        <w:rPr>
          <w:rFonts w:hint="eastAsia"/>
          <w:b/>
          <w:bCs/>
          <w:color w:val="000000"/>
        </w:rPr>
        <w:lastRenderedPageBreak/>
        <w:t>附件2</w:t>
      </w:r>
    </w:p>
    <w:p w14:paraId="3B65779F" w14:textId="77777777" w:rsidR="007D2537" w:rsidRDefault="007D2537" w:rsidP="007D2537">
      <w:pPr>
        <w:pStyle w:val="ab"/>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14:paraId="3EAAD7AB"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14:paraId="3B208AD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14:paraId="6A7B647F"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14:anchorId="72BEACB9" wp14:editId="17F52F45">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86B74F7" w14:textId="77777777" w:rsidR="007D2537" w:rsidRDefault="007D2537" w:rsidP="007D2537"/>
                        </w:txbxContent>
                      </wps:txbx>
                      <wps:bodyPr upright="1"/>
                    </wps:wsp>
                  </a:graphicData>
                </a:graphic>
              </wp:inline>
            </w:drawing>
          </mc:Choice>
          <mc:Fallback>
            <w:pict>
              <v:rect w14:anchorId="72BEACB9"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14:paraId="686B74F7"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1ACB48C9"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14:anchorId="3423197F" wp14:editId="4195F627">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B05A6E" w14:textId="77777777" w:rsidR="007D2537" w:rsidRDefault="007D2537" w:rsidP="007D2537"/>
                        </w:txbxContent>
                      </wps:txbx>
                      <wps:bodyPr upright="1"/>
                    </wps:wsp>
                  </a:graphicData>
                </a:graphic>
              </wp:inline>
            </w:drawing>
          </mc:Choice>
          <mc:Fallback>
            <w:pict>
              <v:rect w14:anchorId="3423197F"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14:paraId="44B05A6E"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3B4090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14:anchorId="311107EA" wp14:editId="75697C5D">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4D326BC" w14:textId="77777777" w:rsidR="007D2537" w:rsidRDefault="007D2537" w:rsidP="007D2537"/>
                        </w:txbxContent>
                      </wps:txbx>
                      <wps:bodyPr upright="1"/>
                    </wps:wsp>
                  </a:graphicData>
                </a:graphic>
              </wp:inline>
            </w:drawing>
          </mc:Choice>
          <mc:Fallback>
            <w:pict>
              <v:rect w14:anchorId="311107EA"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14:paraId="14D326BC"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2CCB52B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14:anchorId="6AD4EC40" wp14:editId="057845D2">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463EF08" w14:textId="77777777" w:rsidR="007D2537" w:rsidRDefault="007D2537" w:rsidP="007D2537"/>
                        </w:txbxContent>
                      </wps:txbx>
                      <wps:bodyPr upright="1"/>
                    </wps:wsp>
                  </a:graphicData>
                </a:graphic>
              </wp:inline>
            </w:drawing>
          </mc:Choice>
          <mc:Fallback>
            <w:pict>
              <v:rect w14:anchorId="6AD4EC40"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14:paraId="2463EF08"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F313C61"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14:anchorId="721B326C" wp14:editId="186A4EBA">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AE22E84" w14:textId="77777777" w:rsidR="007D2537" w:rsidRDefault="007D2537" w:rsidP="007D2537"/>
                        </w:txbxContent>
                      </wps:txbx>
                      <wps:bodyPr upright="1"/>
                    </wps:wsp>
                  </a:graphicData>
                </a:graphic>
              </wp:inline>
            </w:drawing>
          </mc:Choice>
          <mc:Fallback>
            <w:pict>
              <v:rect w14:anchorId="721B326C"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14:paraId="2AE22E84"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6EE61F6A"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14:paraId="0D501EF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特此证明。</w:t>
      </w:r>
    </w:p>
    <w:p w14:paraId="55C0D481" w14:textId="77777777" w:rsidR="007D2537" w:rsidRDefault="007D2537" w:rsidP="007D2537">
      <w:pPr>
        <w:pStyle w:val="ab"/>
        <w:spacing w:line="206" w:lineRule="atLeast"/>
        <w:ind w:firstLine="567"/>
        <w:jc w:val="both"/>
        <w:rPr>
          <w:color w:val="000000"/>
          <w:sz w:val="28"/>
          <w:szCs w:val="28"/>
        </w:rPr>
      </w:pPr>
    </w:p>
    <w:p w14:paraId="61A52C7B" w14:textId="77777777" w:rsidR="007D2537" w:rsidRDefault="007D2537" w:rsidP="007D2537">
      <w:pPr>
        <w:pStyle w:val="ab"/>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14:anchorId="415AE1DA" wp14:editId="56974F72">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D736AE" w14:textId="77777777" w:rsidR="007D2537" w:rsidRDefault="007D2537" w:rsidP="007D2537"/>
                        </w:txbxContent>
                      </wps:txbx>
                      <wps:bodyPr upright="1"/>
                    </wps:wsp>
                  </a:graphicData>
                </a:graphic>
              </wp:inline>
            </w:drawing>
          </mc:Choice>
          <mc:Fallback>
            <w:pict>
              <v:rect w14:anchorId="415AE1DA"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14:paraId="44D736AE" w14:textId="77777777" w:rsidR="007D2537" w:rsidRDefault="007D2537" w:rsidP="007D2537"/>
                  </w:txbxContent>
                </v:textbox>
                <w10:anchorlock/>
              </v:rect>
            </w:pict>
          </mc:Fallback>
        </mc:AlternateContent>
      </w:r>
      <w:r>
        <w:rPr>
          <w:rFonts w:hint="eastAsia"/>
          <w:color w:val="000000"/>
          <w:sz w:val="28"/>
          <w:szCs w:val="28"/>
        </w:rPr>
        <w:t>(盖公章)</w:t>
      </w:r>
      <w:r>
        <w:rPr>
          <w:rFonts w:hint="eastAsia"/>
          <w:color w:val="000000"/>
          <w:sz w:val="28"/>
          <w:szCs w:val="28"/>
          <w:u w:val="single"/>
        </w:rPr>
        <w:t xml:space="preserve">                      </w:t>
      </w:r>
    </w:p>
    <w:p w14:paraId="18A85FCD" w14:textId="77777777" w:rsidR="007D2537" w:rsidRDefault="007D2537" w:rsidP="007D2537">
      <w:pPr>
        <w:pStyle w:val="ab"/>
        <w:spacing w:line="206" w:lineRule="atLeast"/>
        <w:ind w:firstLine="567"/>
        <w:jc w:val="center"/>
        <w:rPr>
          <w:color w:val="000000"/>
          <w:sz w:val="28"/>
          <w:szCs w:val="28"/>
        </w:rPr>
      </w:pPr>
    </w:p>
    <w:p w14:paraId="0E6FEB48" w14:textId="77777777" w:rsidR="007D2537" w:rsidRDefault="007D2537" w:rsidP="007D2537">
      <w:pPr>
        <w:pStyle w:val="ab"/>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14:anchorId="05CFADCC" wp14:editId="0B4B155F">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9F03B1D" w14:textId="77777777" w:rsidR="007D2537" w:rsidRDefault="007D2537" w:rsidP="007D2537"/>
                        </w:txbxContent>
                      </wps:txbx>
                      <wps:bodyPr upright="1"/>
                    </wps:wsp>
                  </a:graphicData>
                </a:graphic>
              </wp:inline>
            </w:drawing>
          </mc:Choice>
          <mc:Fallback>
            <w:pict>
              <v:rect w14:anchorId="05CFADCC"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14:paraId="79F03B1D"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76A1D848" w14:textId="77777777" w:rsidR="007D2537" w:rsidRDefault="007D2537" w:rsidP="007D2537">
      <w:pPr>
        <w:pStyle w:val="ab"/>
        <w:spacing w:line="206" w:lineRule="atLeast"/>
        <w:ind w:firstLine="567"/>
        <w:jc w:val="center"/>
        <w:rPr>
          <w:color w:val="000000"/>
          <w:sz w:val="28"/>
          <w:szCs w:val="28"/>
          <w:u w:val="single"/>
        </w:rPr>
      </w:pPr>
    </w:p>
    <w:p w14:paraId="39F34C06" w14:textId="77777777" w:rsidR="007D2537" w:rsidRDefault="007D2537" w:rsidP="007D2537">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14:paraId="45B86469" w14:textId="77777777" w:rsidR="007D2537" w:rsidRDefault="007D2537" w:rsidP="007D2537">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14:paraId="4DF0EF01" w14:textId="77777777" w:rsidR="007D2537" w:rsidRDefault="007D2537" w:rsidP="007D2537">
      <w:pPr>
        <w:pStyle w:val="a8"/>
        <w:rPr>
          <w:rFonts w:ascii="宋体" w:hAnsi="宋体" w:cs="宋体"/>
        </w:rPr>
      </w:pPr>
    </w:p>
    <w:p w14:paraId="2F0DD18E" w14:textId="77777777" w:rsidR="007D2537" w:rsidRDefault="007D2537" w:rsidP="007D2537">
      <w:pPr>
        <w:pStyle w:val="a8"/>
        <w:ind w:firstLineChars="100" w:firstLine="280"/>
        <w:rPr>
          <w:rFonts w:ascii="宋体" w:hAnsi="宋体" w:cs="宋体"/>
          <w:sz w:val="28"/>
          <w:szCs w:val="28"/>
        </w:rPr>
      </w:pPr>
      <w:r>
        <w:rPr>
          <w:rFonts w:ascii="宋体" w:hAnsi="宋体" w:cs="宋体" w:hint="eastAsia"/>
          <w:sz w:val="28"/>
          <w:szCs w:val="28"/>
        </w:rPr>
        <w:t>营业执照复印件盖公章，粘贴此处</w:t>
      </w:r>
    </w:p>
    <w:p w14:paraId="402D0668" w14:textId="77777777" w:rsidR="007D2537" w:rsidRDefault="007D2537" w:rsidP="007D2537">
      <w:pPr>
        <w:pStyle w:val="a8"/>
        <w:ind w:firstLineChars="100" w:firstLine="280"/>
        <w:rPr>
          <w:rFonts w:ascii="宋体" w:hAnsi="宋体" w:cs="宋体"/>
          <w:sz w:val="28"/>
          <w:szCs w:val="28"/>
        </w:rPr>
      </w:pPr>
    </w:p>
    <w:p w14:paraId="1A5BAB1C" w14:textId="77777777" w:rsidR="007D2537" w:rsidRDefault="007D2537" w:rsidP="007D2537">
      <w:pPr>
        <w:pStyle w:val="a8"/>
        <w:ind w:firstLineChars="100" w:firstLine="280"/>
        <w:rPr>
          <w:rFonts w:ascii="宋体" w:hAnsi="宋体" w:cs="宋体"/>
          <w:sz w:val="28"/>
          <w:szCs w:val="28"/>
        </w:rPr>
      </w:pPr>
    </w:p>
    <w:p w14:paraId="49C01728" w14:textId="77777777" w:rsidR="007D2537" w:rsidRDefault="007D2537" w:rsidP="007D2537">
      <w:pPr>
        <w:pStyle w:val="a8"/>
        <w:ind w:firstLineChars="100" w:firstLine="280"/>
        <w:rPr>
          <w:rFonts w:ascii="宋体" w:hAnsi="宋体" w:cs="宋体"/>
          <w:sz w:val="28"/>
          <w:szCs w:val="28"/>
        </w:rPr>
      </w:pPr>
    </w:p>
    <w:p w14:paraId="69452608" w14:textId="77777777" w:rsidR="007D2537" w:rsidRDefault="007D2537" w:rsidP="007D2537">
      <w:pPr>
        <w:pStyle w:val="a8"/>
        <w:ind w:firstLineChars="100" w:firstLine="280"/>
        <w:rPr>
          <w:rFonts w:ascii="宋体" w:hAnsi="宋体" w:cs="宋体"/>
          <w:sz w:val="28"/>
          <w:szCs w:val="28"/>
        </w:rPr>
      </w:pPr>
    </w:p>
    <w:p w14:paraId="1CD0EC35" w14:textId="77777777" w:rsidR="007D2537" w:rsidRDefault="007D2537" w:rsidP="007D2537">
      <w:pPr>
        <w:pStyle w:val="a8"/>
        <w:ind w:firstLineChars="100" w:firstLine="280"/>
        <w:rPr>
          <w:rFonts w:ascii="宋体" w:hAnsi="宋体" w:cs="宋体"/>
          <w:sz w:val="28"/>
          <w:szCs w:val="28"/>
        </w:rPr>
      </w:pPr>
    </w:p>
    <w:p w14:paraId="160264EE" w14:textId="77777777" w:rsidR="007D2537" w:rsidRDefault="007D2537" w:rsidP="007D2537">
      <w:pPr>
        <w:pStyle w:val="a8"/>
        <w:ind w:firstLineChars="100" w:firstLine="280"/>
        <w:rPr>
          <w:rFonts w:ascii="宋体" w:hAnsi="宋体" w:cs="宋体"/>
          <w:sz w:val="28"/>
          <w:szCs w:val="28"/>
        </w:rPr>
      </w:pPr>
    </w:p>
    <w:p w14:paraId="74E6B05C" w14:textId="77777777" w:rsidR="007D2537" w:rsidRDefault="007D2537" w:rsidP="007D2537">
      <w:pPr>
        <w:pStyle w:val="a8"/>
        <w:ind w:firstLineChars="100" w:firstLine="280"/>
        <w:rPr>
          <w:rFonts w:ascii="宋体" w:hAnsi="宋体" w:cs="宋体"/>
          <w:sz w:val="28"/>
          <w:szCs w:val="28"/>
        </w:rPr>
      </w:pPr>
    </w:p>
    <w:p w14:paraId="5108B893" w14:textId="77777777" w:rsidR="007D2537" w:rsidRDefault="007D2537" w:rsidP="007D2537">
      <w:pPr>
        <w:pStyle w:val="a8"/>
        <w:ind w:firstLineChars="100" w:firstLine="280"/>
        <w:rPr>
          <w:rFonts w:ascii="宋体" w:hAnsi="宋体" w:cs="宋体"/>
          <w:sz w:val="28"/>
          <w:szCs w:val="28"/>
        </w:rPr>
      </w:pPr>
    </w:p>
    <w:p w14:paraId="569DC2AE" w14:textId="77777777" w:rsidR="007D2537" w:rsidRDefault="007D2537" w:rsidP="007D2537">
      <w:pPr>
        <w:pStyle w:val="a8"/>
        <w:ind w:firstLineChars="100" w:firstLine="280"/>
        <w:rPr>
          <w:rFonts w:ascii="宋体" w:hAnsi="宋体" w:cs="宋体"/>
          <w:sz w:val="28"/>
          <w:szCs w:val="28"/>
        </w:rPr>
      </w:pPr>
    </w:p>
    <w:p w14:paraId="7D4280E6" w14:textId="77777777" w:rsidR="007D2537" w:rsidRDefault="007D2537" w:rsidP="007D2537">
      <w:pPr>
        <w:pStyle w:val="a8"/>
        <w:ind w:firstLineChars="100" w:firstLine="280"/>
        <w:rPr>
          <w:rFonts w:ascii="宋体" w:hAnsi="宋体" w:cs="宋体"/>
          <w:sz w:val="28"/>
          <w:szCs w:val="28"/>
        </w:rPr>
      </w:pPr>
    </w:p>
    <w:p w14:paraId="7B57E2C6" w14:textId="77777777" w:rsidR="007D2537" w:rsidRDefault="007D2537" w:rsidP="007D2537">
      <w:pPr>
        <w:pStyle w:val="a8"/>
        <w:ind w:firstLineChars="100" w:firstLine="280"/>
        <w:rPr>
          <w:rFonts w:ascii="宋体" w:hAnsi="宋体" w:cs="宋体"/>
          <w:sz w:val="28"/>
          <w:szCs w:val="28"/>
        </w:rPr>
      </w:pPr>
    </w:p>
    <w:p w14:paraId="75A3C36E" w14:textId="77777777" w:rsidR="007D2537" w:rsidRDefault="007D2537" w:rsidP="007D2537">
      <w:pPr>
        <w:pStyle w:val="a8"/>
        <w:ind w:firstLineChars="100" w:firstLine="280"/>
        <w:rPr>
          <w:rFonts w:ascii="宋体" w:hAnsi="宋体" w:cs="宋体"/>
          <w:sz w:val="28"/>
          <w:szCs w:val="28"/>
        </w:rPr>
      </w:pPr>
    </w:p>
    <w:p w14:paraId="268D5CC2" w14:textId="77777777" w:rsidR="007D2537" w:rsidRDefault="007D2537" w:rsidP="007D2537">
      <w:pPr>
        <w:pStyle w:val="a8"/>
        <w:ind w:firstLineChars="100" w:firstLine="280"/>
        <w:rPr>
          <w:rFonts w:ascii="宋体" w:hAnsi="宋体" w:cs="宋体"/>
          <w:sz w:val="28"/>
          <w:szCs w:val="28"/>
        </w:rPr>
      </w:pPr>
    </w:p>
    <w:p w14:paraId="182C3374" w14:textId="77777777" w:rsidR="007D2537" w:rsidRDefault="007D2537" w:rsidP="007D2537">
      <w:pPr>
        <w:spacing w:line="300" w:lineRule="auto"/>
        <w:rPr>
          <w:rFonts w:ascii="宋体" w:hAnsi="宋体" w:cs="宋体"/>
          <w:b/>
          <w:bCs/>
          <w:sz w:val="24"/>
        </w:rPr>
      </w:pPr>
    </w:p>
    <w:p w14:paraId="01A6F2D3" w14:textId="75AC0A1B" w:rsidR="00982D43" w:rsidRPr="007D2537" w:rsidRDefault="00982D43" w:rsidP="007D2537">
      <w:pPr>
        <w:rPr>
          <w:rFonts w:ascii="宋体" w:eastAsia="宋体" w:hAnsi="宋体"/>
        </w:rPr>
      </w:pPr>
    </w:p>
    <w:sectPr w:rsidR="00982D43" w:rsidRPr="007D25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8DC6C" w14:textId="77777777" w:rsidR="0043223E" w:rsidRDefault="0043223E">
      <w:r>
        <w:separator/>
      </w:r>
    </w:p>
  </w:endnote>
  <w:endnote w:type="continuationSeparator" w:id="0">
    <w:p w14:paraId="063EC2B2" w14:textId="77777777" w:rsidR="0043223E" w:rsidRDefault="0043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84844"/>
      <w:docPartObj>
        <w:docPartGallery w:val="AutoText"/>
      </w:docPartObj>
    </w:sdtPr>
    <w:sdtEndPr/>
    <w:sdtContent>
      <w:p w14:paraId="35BF7088" w14:textId="77777777" w:rsidR="00982D43" w:rsidRDefault="001D0DF7">
        <w:pPr>
          <w:pStyle w:val="a3"/>
          <w:jc w:val="center"/>
        </w:pPr>
        <w:r>
          <w:fldChar w:fldCharType="begin"/>
        </w:r>
        <w:r>
          <w:instrText>PAGE   \* MERGEFORMAT</w:instrText>
        </w:r>
        <w:r>
          <w:fldChar w:fldCharType="separate"/>
        </w:r>
        <w:r w:rsidR="00D27C7F" w:rsidRPr="00D27C7F">
          <w:rPr>
            <w:noProof/>
            <w:lang w:val="zh-CN"/>
          </w:rPr>
          <w:t>6</w:t>
        </w:r>
        <w:r>
          <w:fldChar w:fldCharType="end"/>
        </w:r>
      </w:p>
    </w:sdtContent>
  </w:sdt>
  <w:p w14:paraId="266376F4" w14:textId="77777777" w:rsidR="00982D43" w:rsidRDefault="00982D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22040" w14:textId="77777777" w:rsidR="0043223E" w:rsidRDefault="0043223E">
      <w:r>
        <w:separator/>
      </w:r>
    </w:p>
  </w:footnote>
  <w:footnote w:type="continuationSeparator" w:id="0">
    <w:p w14:paraId="320849EB" w14:textId="77777777" w:rsidR="0043223E" w:rsidRDefault="00432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1">
    <w:nsid w:val="47392639"/>
    <w:multiLevelType w:val="multilevel"/>
    <w:tmpl w:val="4739263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22"/>
    <w:rsid w:val="000B3A22"/>
    <w:rsid w:val="000D698F"/>
    <w:rsid w:val="001172F5"/>
    <w:rsid w:val="00142BE1"/>
    <w:rsid w:val="001D0DF7"/>
    <w:rsid w:val="0020220E"/>
    <w:rsid w:val="0043223E"/>
    <w:rsid w:val="004A6320"/>
    <w:rsid w:val="006A5C22"/>
    <w:rsid w:val="007B39D1"/>
    <w:rsid w:val="007D2537"/>
    <w:rsid w:val="00856A9E"/>
    <w:rsid w:val="008D7590"/>
    <w:rsid w:val="00982D43"/>
    <w:rsid w:val="00A26FCE"/>
    <w:rsid w:val="00AC5057"/>
    <w:rsid w:val="00B452BA"/>
    <w:rsid w:val="00B71080"/>
    <w:rsid w:val="00D20443"/>
    <w:rsid w:val="00D27C7F"/>
    <w:rsid w:val="00D3673E"/>
    <w:rsid w:val="00E25EB3"/>
    <w:rsid w:val="00E73859"/>
    <w:rsid w:val="27CB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5C6180-C8A4-4086-BAAB-2D707B8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1"/>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a">
    <w:name w:val="Body Text"/>
    <w:basedOn w:val="a"/>
    <w:link w:val="Char5"/>
    <w:uiPriority w:val="1"/>
    <w:qFormat/>
    <w:rsid w:val="007D2537"/>
    <w:pPr>
      <w:ind w:left="760" w:firstLine="480"/>
    </w:pPr>
    <w:rPr>
      <w:rFonts w:ascii="Calibri" w:eastAsia="宋体" w:hAnsi="Calibri" w:cs="Times New Roman"/>
      <w:sz w:val="24"/>
      <w:szCs w:val="24"/>
    </w:rPr>
  </w:style>
  <w:style w:type="character" w:customStyle="1" w:styleId="Char5">
    <w:name w:val="正文文本 Char"/>
    <w:basedOn w:val="a0"/>
    <w:link w:val="aa"/>
    <w:uiPriority w:val="1"/>
    <w:rsid w:val="007D2537"/>
    <w:rPr>
      <w:rFonts w:ascii="Calibri" w:eastAsia="宋体" w:hAnsi="Calibri" w:cs="Times New Roman"/>
      <w:kern w:val="2"/>
      <w:sz w:val="24"/>
      <w:szCs w:val="24"/>
    </w:rPr>
  </w:style>
  <w:style w:type="paragraph" w:styleId="ab">
    <w:name w:val="Normal (Web)"/>
    <w:basedOn w:val="a"/>
    <w:qFormat/>
    <w:rsid w:val="007D2537"/>
    <w:pPr>
      <w:spacing w:before="100" w:beforeAutospacing="1" w:after="100" w:afterAutospacing="1"/>
      <w:jc w:val="left"/>
    </w:pPr>
    <w:rPr>
      <w:rFonts w:ascii="宋体" w:eastAsia="宋体" w:hAnsi="宋体" w:cs="宋体"/>
      <w:szCs w:val="24"/>
    </w:rPr>
  </w:style>
  <w:style w:type="paragraph" w:customStyle="1" w:styleId="Other1">
    <w:name w:val="Other|1"/>
    <w:basedOn w:val="a"/>
    <w:qFormat/>
    <w:rsid w:val="007D2537"/>
    <w:rPr>
      <w:rFonts w:ascii="宋体" w:eastAsia="宋体" w:hAnsi="宋体" w:cs="宋体"/>
      <w:sz w:val="15"/>
      <w:szCs w:val="15"/>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471</Words>
  <Characters>2688</Characters>
  <Application>Microsoft Office Word</Application>
  <DocSecurity>0</DocSecurity>
  <Lines>22</Lines>
  <Paragraphs>6</Paragraphs>
  <ScaleCrop>false</ScaleCrop>
  <Company>P R C</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dc:creator>
  <cp:lastModifiedBy>Windows User</cp:lastModifiedBy>
  <cp:revision>5</cp:revision>
  <dcterms:created xsi:type="dcterms:W3CDTF">2026-03-12T00:10:00Z</dcterms:created>
  <dcterms:modified xsi:type="dcterms:W3CDTF">2026-03-13T05:34:00Z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eyJoZGlkIjoiNTVlMjM1NzhiNGFmODMwZDBkNmIyMTM5YmE1Y2QyZDAiLCJ1c2VySWQiOiI1MTMwMDUyNzcifQ==</vt:lpwstr>
  </property>
  <property fmtid="{D5CDD505-2E9C-101B-9397-08002B2CF9AE}" pid="3" name="KSOProductBuildVer">
    <vt:lpwstr>2052-12.1.0.25225</vt:lpwstr>
  </property>
  <property fmtid="{D5CDD505-2E9C-101B-9397-08002B2CF9AE}" pid="4" name="ICV">
    <vt:lpwstr>373B7C3430E44043A447E4D8648B1CDB_13</vt:lpwstr>
  </property>
</Properties>
</file>